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84" w:rsidRPr="006B1184" w:rsidRDefault="006B1184" w:rsidP="006B1184">
      <w:pPr>
        <w:pStyle w:val="a3"/>
        <w:shd w:val="clear" w:color="auto" w:fill="FFFFFF"/>
        <w:spacing w:before="300" w:beforeAutospacing="0" w:after="300" w:afterAutospacing="0" w:line="375" w:lineRule="atLeast"/>
        <w:rPr>
          <w:rFonts w:ascii="Segoe UI" w:hAnsi="Segoe UI" w:cs="Segoe UI"/>
          <w:b/>
          <w:sz w:val="21"/>
          <w:szCs w:val="21"/>
          <w:lang w:val="uk-UA"/>
        </w:rPr>
      </w:pPr>
      <w:r w:rsidRPr="006B1184">
        <w:rPr>
          <w:rStyle w:val="a5"/>
          <w:b w:val="0"/>
          <w:szCs w:val="21"/>
          <w:lang w:val="uk-UA"/>
        </w:rPr>
        <w:t>УДК 614.8</w:t>
      </w:r>
    </w:p>
    <w:p w:rsidR="006B1184" w:rsidRDefault="00CC1E10" w:rsidP="006B1184">
      <w:pPr>
        <w:pStyle w:val="a3"/>
        <w:spacing w:line="360" w:lineRule="auto"/>
        <w:ind w:firstLine="851"/>
        <w:jc w:val="center"/>
        <w:rPr>
          <w:b/>
          <w:lang w:val="uk-UA"/>
        </w:rPr>
      </w:pPr>
      <w:r>
        <w:rPr>
          <w:b/>
          <w:lang w:val="uk-UA"/>
        </w:rPr>
        <w:t>РОЗРОБЛЕННЯ БЕЗПЕЧНИХ МЕТОДІВ ГАСІННЯ РЕЗЕРВУАРІВ З ВИКОРИСТАННЯМ КОМПРЕСІЙНОЇ ПІНИ</w:t>
      </w:r>
    </w:p>
    <w:p w:rsidR="003D11AC" w:rsidRDefault="002610BB" w:rsidP="006B1184">
      <w:pPr>
        <w:pStyle w:val="a3"/>
        <w:spacing w:line="360" w:lineRule="auto"/>
        <w:ind w:firstLine="851"/>
        <w:jc w:val="center"/>
        <w:rPr>
          <w:b/>
          <w:i/>
          <w:lang w:val="uk-UA"/>
        </w:rPr>
      </w:pPr>
      <w:r w:rsidRPr="00CC1E10">
        <w:rPr>
          <w:b/>
          <w:i/>
          <w:lang w:val="uk-UA"/>
        </w:rPr>
        <w:t>Великий Н.</w:t>
      </w:r>
      <w:r w:rsidR="006B1184" w:rsidRPr="00CC1E10">
        <w:rPr>
          <w:b/>
          <w:i/>
          <w:lang w:val="uk-UA"/>
        </w:rPr>
        <w:t>Р.</w:t>
      </w:r>
      <w:r w:rsidR="00CC1E10" w:rsidRPr="00CC1E10">
        <w:rPr>
          <w:b/>
          <w:i/>
          <w:lang w:val="uk-UA"/>
        </w:rPr>
        <w:t xml:space="preserve">, </w:t>
      </w:r>
      <w:proofErr w:type="spellStart"/>
      <w:r w:rsidR="004C7798" w:rsidRPr="00CC1E10">
        <w:rPr>
          <w:b/>
          <w:i/>
          <w:lang w:val="uk-UA"/>
        </w:rPr>
        <w:t>Ковалишин</w:t>
      </w:r>
      <w:proofErr w:type="spellEnd"/>
      <w:r w:rsidR="004C7798" w:rsidRPr="00CC1E10">
        <w:rPr>
          <w:b/>
          <w:i/>
          <w:lang w:val="uk-UA"/>
        </w:rPr>
        <w:t xml:space="preserve"> </w:t>
      </w:r>
      <w:proofErr w:type="spellStart"/>
      <w:r w:rsidR="004C7798" w:rsidRPr="00CC1E10">
        <w:rPr>
          <w:b/>
          <w:i/>
          <w:lang w:val="uk-UA"/>
        </w:rPr>
        <w:t>Вол.</w:t>
      </w:r>
      <w:r w:rsidR="006B1184" w:rsidRPr="00CC1E10">
        <w:rPr>
          <w:b/>
          <w:i/>
          <w:lang w:val="uk-UA"/>
        </w:rPr>
        <w:t>В</w:t>
      </w:r>
      <w:proofErr w:type="spellEnd"/>
      <w:r w:rsidR="006B1184" w:rsidRPr="00CC1E10">
        <w:rPr>
          <w:b/>
          <w:i/>
          <w:lang w:val="uk-UA"/>
        </w:rPr>
        <w:t>.</w:t>
      </w:r>
      <w:r w:rsidR="00245905" w:rsidRPr="00CC1E10">
        <w:rPr>
          <w:b/>
          <w:i/>
          <w:lang w:val="uk-UA"/>
        </w:rPr>
        <w:t>, Войтович Т.М.</w:t>
      </w:r>
    </w:p>
    <w:p w:rsidR="00CC1E10" w:rsidRPr="00CC1E10" w:rsidRDefault="00CC1E10" w:rsidP="006B1184">
      <w:pPr>
        <w:pStyle w:val="a3"/>
        <w:spacing w:line="360" w:lineRule="auto"/>
        <w:ind w:firstLine="851"/>
        <w:jc w:val="center"/>
        <w:rPr>
          <w:b/>
          <w:i/>
          <w:lang w:val="uk-UA"/>
        </w:rPr>
      </w:pPr>
      <w:proofErr w:type="spellStart"/>
      <w:r>
        <w:rPr>
          <w:b/>
          <w:i/>
          <w:lang w:val="uk-UA"/>
        </w:rPr>
        <w:t>Ковалишин</w:t>
      </w:r>
      <w:proofErr w:type="spellEnd"/>
      <w:r>
        <w:rPr>
          <w:b/>
          <w:i/>
          <w:lang w:val="uk-UA"/>
        </w:rPr>
        <w:t xml:space="preserve"> В.В., професор, </w:t>
      </w:r>
      <w:proofErr w:type="spellStart"/>
      <w:r>
        <w:rPr>
          <w:b/>
          <w:i/>
          <w:lang w:val="uk-UA"/>
        </w:rPr>
        <w:t>д.т.н</w:t>
      </w:r>
      <w:proofErr w:type="spellEnd"/>
      <w:r>
        <w:rPr>
          <w:b/>
          <w:i/>
          <w:lang w:val="uk-UA"/>
        </w:rPr>
        <w:t>., Львівський державний університет безпеки життєдіяльності</w:t>
      </w:r>
    </w:p>
    <w:p w:rsidR="00670D1E" w:rsidRPr="00670D1E" w:rsidRDefault="00670D1E" w:rsidP="006B1184">
      <w:pPr>
        <w:pStyle w:val="a3"/>
        <w:spacing w:line="360" w:lineRule="auto"/>
        <w:ind w:firstLine="851"/>
        <w:jc w:val="both"/>
        <w:rPr>
          <w:lang w:val="uk-UA"/>
        </w:rPr>
      </w:pPr>
      <w:bookmarkStart w:id="0" w:name="_GoBack"/>
      <w:bookmarkEnd w:id="0"/>
      <w:r w:rsidRPr="00670D1E">
        <w:rPr>
          <w:lang w:val="uk-UA"/>
        </w:rPr>
        <w:t>Резервуари, що містять нафту та нафтопродукти, є пожежонебезпечними об'єктами. На жаль, пожежі, які виникають внаслідок несправностей або порушень технічної безпе</w:t>
      </w:r>
      <w:r w:rsidR="00CF2D17">
        <w:rPr>
          <w:lang w:val="uk-UA"/>
        </w:rPr>
        <w:t>ки, можуть завдати значних</w:t>
      </w:r>
      <w:r w:rsidRPr="00670D1E">
        <w:rPr>
          <w:lang w:val="uk-UA"/>
        </w:rPr>
        <w:t xml:space="preserve"> </w:t>
      </w:r>
      <w:r w:rsidR="00CF2D17">
        <w:rPr>
          <w:lang w:val="uk-UA"/>
        </w:rPr>
        <w:t>матеріальних, соціальних та екологічних збитків</w:t>
      </w:r>
      <w:r w:rsidRPr="00670D1E">
        <w:rPr>
          <w:lang w:val="uk-UA"/>
        </w:rPr>
        <w:t>. Необхідно зрозуміти, що більшість резервуарів знаходяться поруч з населеними пунктами, що збільшує ризик поширення пожежі на прилеглі території та створює небезпеку для людей.</w:t>
      </w:r>
    </w:p>
    <w:p w:rsidR="00AA38EE" w:rsidRPr="00E2215F" w:rsidRDefault="00670D1E" w:rsidP="006B1184">
      <w:pPr>
        <w:pStyle w:val="a3"/>
        <w:spacing w:line="360" w:lineRule="auto"/>
        <w:ind w:firstLine="851"/>
        <w:jc w:val="both"/>
      </w:pPr>
      <w:r w:rsidRPr="00670D1E">
        <w:rPr>
          <w:lang w:val="uk-UA"/>
        </w:rPr>
        <w:t>Більш того, важкість гасіння пожежі в резервуарах з нафтою полягає у тому, що вони містять велику кількість горючої рідини, яка може випаровуватися та утворювати вибухонебезпечні пари, що створює небезпеку для пожежних підрозділів.</w:t>
      </w:r>
      <w:r w:rsidR="000E7549" w:rsidRPr="000E7549">
        <w:rPr>
          <w:lang w:val="uk-UA"/>
        </w:rPr>
        <w:t xml:space="preserve"> Пожежі нафти і нафтопродуктів з температурою кипіння вище 100 </w:t>
      </w:r>
      <w:r w:rsidR="000E7549" w:rsidRPr="000E7549">
        <w:t>°</w:t>
      </w:r>
      <w:r w:rsidR="000E7549" w:rsidRPr="000E7549">
        <w:rPr>
          <w:lang w:val="uk-UA"/>
        </w:rPr>
        <w:t>С в резервуарах можуть супроводжуватись скипанням і викидом.</w:t>
      </w:r>
      <w:r w:rsidR="00E2215F" w:rsidRPr="00E2215F">
        <w:rPr>
          <w:rFonts w:ascii="Tahoma" w:eastAsia="+mn-ea" w:hAnsi="Tahoma" w:cs="+mn-cs"/>
          <w:shadow/>
          <w:color w:val="FFFFFF"/>
          <w:sz w:val="64"/>
          <w:szCs w:val="64"/>
          <w:lang w:val="uk-UA"/>
        </w:rPr>
        <w:t xml:space="preserve"> </w:t>
      </w:r>
      <w:r w:rsidR="000C4A6B" w:rsidRPr="00E2215F">
        <w:rPr>
          <w:lang w:val="uk-UA"/>
        </w:rPr>
        <w:t>Скипання супроводжується переливом маси продукту через борт резервуара внаслідок збільшення його в об’ємі в 4-5 раз по відношенню до об'єму нагрітої рідини. Воно можливе приблизно через 60 хв. при вмісті вологи в нафтопродукті більше 0,3%.</w:t>
      </w:r>
      <w:r w:rsidR="000C4A6B" w:rsidRPr="00E2215F">
        <w:rPr>
          <w:b/>
          <w:bCs/>
          <w:lang w:val="uk-UA"/>
        </w:rPr>
        <w:t xml:space="preserve"> </w:t>
      </w:r>
    </w:p>
    <w:p w:rsidR="00670D1E" w:rsidRDefault="00CF2D17" w:rsidP="006B1184">
      <w:pPr>
        <w:pStyle w:val="a3"/>
        <w:spacing w:line="360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Велику роль грають заходи безпеки для пожежників під час гасіння пожежі. </w:t>
      </w:r>
      <w:r w:rsidR="003D11AC">
        <w:rPr>
          <w:lang w:val="uk-UA"/>
        </w:rPr>
        <w:t>Гасіння пожежі на нафтобазі БРСМ у Василькові у 2014 році призвело до загибелі п’ятьох пожежників</w:t>
      </w:r>
      <w:r w:rsidR="00E2215F">
        <w:rPr>
          <w:lang w:val="uk-UA"/>
        </w:rPr>
        <w:t xml:space="preserve"> внаслідок скипання та викиду нафтопродукту</w:t>
      </w:r>
      <w:r w:rsidR="003D11AC">
        <w:rPr>
          <w:lang w:val="uk-UA"/>
        </w:rPr>
        <w:t xml:space="preserve">. </w:t>
      </w:r>
      <w:r w:rsidR="00670D1E" w:rsidRPr="00670D1E">
        <w:rPr>
          <w:lang w:val="uk-UA"/>
        </w:rPr>
        <w:t>Крім того, наслідки пожеж можуть бути досить серйозними, включаючи забруднення ґрунту та водойм, що може негативно впливати на екологію та здоров'я людей.</w:t>
      </w:r>
    </w:p>
    <w:p w:rsidR="004C7798" w:rsidRPr="004C7798" w:rsidRDefault="00670D1E" w:rsidP="006B1184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654A5B">
        <w:rPr>
          <w:rFonts w:ascii="Times New Roman" w:hAnsi="Times New Roman" w:cs="Times New Roman"/>
          <w:sz w:val="24"/>
          <w:lang w:val="uk-UA"/>
        </w:rPr>
        <w:t>Гасіння пожеж у резервуарах з нафтою та нафтопродуктами - це завдання, яке вимагає спеціального підходу та комплексу різноманітних методів. Звичайні методи гасіння, такі як використання води, піни та інших вогнегасних речовин, не завжди ефективні у разі пожеж у великих резервуарах.</w:t>
      </w:r>
      <w:r w:rsidR="00245905">
        <w:rPr>
          <w:rFonts w:ascii="Times New Roman" w:hAnsi="Times New Roman" w:cs="Times New Roman"/>
          <w:sz w:val="24"/>
          <w:lang w:val="uk-UA"/>
        </w:rPr>
        <w:t xml:space="preserve"> </w:t>
      </w:r>
      <w:r w:rsidR="00E2215F">
        <w:rPr>
          <w:rFonts w:ascii="Times New Roman" w:hAnsi="Times New Roman" w:cs="Times New Roman"/>
          <w:sz w:val="24"/>
          <w:szCs w:val="24"/>
          <w:lang w:val="uk-UA"/>
        </w:rPr>
        <w:t>Аналіз гасіння</w:t>
      </w:r>
      <w:r w:rsidRPr="00654A5B">
        <w:rPr>
          <w:rFonts w:ascii="Times New Roman" w:hAnsi="Times New Roman" w:cs="Times New Roman"/>
          <w:sz w:val="24"/>
          <w:szCs w:val="24"/>
          <w:lang w:val="uk-UA"/>
        </w:rPr>
        <w:t xml:space="preserve"> резервуарів традиційними методами спонукає до створення більш нових, сучасних та ефективних способів гасіння пожеж. Один з таких</w:t>
      </w:r>
      <w:r w:rsidR="00654A5B" w:rsidRPr="00654A5B">
        <w:rPr>
          <w:rFonts w:ascii="Times New Roman" w:hAnsi="Times New Roman" w:cs="Times New Roman"/>
          <w:sz w:val="24"/>
          <w:szCs w:val="24"/>
          <w:lang w:val="uk-UA"/>
        </w:rPr>
        <w:t xml:space="preserve"> можливих</w:t>
      </w:r>
      <w:r w:rsidRPr="00654A5B">
        <w:rPr>
          <w:rFonts w:ascii="Times New Roman" w:hAnsi="Times New Roman" w:cs="Times New Roman"/>
          <w:sz w:val="24"/>
          <w:szCs w:val="24"/>
          <w:lang w:val="uk-UA"/>
        </w:rPr>
        <w:t xml:space="preserve"> способів </w:t>
      </w:r>
      <w:r w:rsidR="00654A5B" w:rsidRPr="00654A5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654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4A5B" w:rsidRPr="00654A5B">
        <w:rPr>
          <w:rFonts w:ascii="Times New Roman" w:hAnsi="Times New Roman" w:cs="Times New Roman"/>
          <w:sz w:val="24"/>
          <w:szCs w:val="24"/>
          <w:lang w:val="uk-UA"/>
        </w:rPr>
        <w:t>це подача компресійної піни під шар нафти чи нафтопродукту</w:t>
      </w:r>
      <w:r w:rsidRPr="00654A5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54A5B" w:rsidRPr="00654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4BDE">
        <w:rPr>
          <w:rFonts w:ascii="Times New Roman" w:hAnsi="Times New Roman" w:cs="Times New Roman"/>
          <w:sz w:val="24"/>
          <w:szCs w:val="24"/>
          <w:lang w:val="uk-UA"/>
        </w:rPr>
        <w:lastRenderedPageBreak/>
        <w:t>«</w:t>
      </w:r>
      <w:proofErr w:type="spellStart"/>
      <w:r w:rsidR="00654A5B" w:rsidRPr="00654A5B">
        <w:rPr>
          <w:rFonts w:ascii="Times New Roman" w:hAnsi="Times New Roman" w:cs="Times New Roman"/>
          <w:sz w:val="24"/>
          <w:szCs w:val="24"/>
          <w:lang w:val="uk-UA"/>
        </w:rPr>
        <w:t>Підшаровий</w:t>
      </w:r>
      <w:proofErr w:type="spellEnd"/>
      <w:r w:rsidR="001A4BD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654A5B" w:rsidRPr="00654A5B">
        <w:rPr>
          <w:rFonts w:ascii="Times New Roman" w:hAnsi="Times New Roman" w:cs="Times New Roman"/>
          <w:sz w:val="24"/>
          <w:szCs w:val="24"/>
          <w:lang w:val="uk-UA"/>
        </w:rPr>
        <w:t xml:space="preserve"> спосіб гасіння є більш ефективним та безпечним порівняно з традиційними методами гасіння.</w:t>
      </w:r>
      <w:r w:rsidR="00E221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7798" w:rsidRPr="004C7798">
        <w:rPr>
          <w:rFonts w:ascii="Times New Roman" w:hAnsi="Times New Roman" w:cs="Times New Roman"/>
          <w:b/>
          <w:bCs/>
          <w:lang w:val="uk-UA"/>
        </w:rPr>
        <w:t>Переваги підшарового способу гасіння пожеж в резервуарах:</w:t>
      </w:r>
    </w:p>
    <w:p w:rsidR="00AA38EE" w:rsidRPr="004C7798" w:rsidRDefault="000C4A6B" w:rsidP="006B1184">
      <w:pPr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798">
        <w:rPr>
          <w:rFonts w:ascii="Times New Roman" w:hAnsi="Times New Roman" w:cs="Times New Roman"/>
          <w:sz w:val="24"/>
          <w:szCs w:val="24"/>
          <w:lang w:val="uk-UA"/>
        </w:rPr>
        <w:t xml:space="preserve"> установка «Підшарового» гасіння дає змогу ліквідувати горіння у резервуарі незважаючи на руйнування верхнього поясу і наявності ділянок, закритих зверху;</w:t>
      </w:r>
    </w:p>
    <w:p w:rsidR="00AA38EE" w:rsidRPr="004C7798" w:rsidRDefault="000C4A6B" w:rsidP="006B1184">
      <w:pPr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798">
        <w:rPr>
          <w:rFonts w:ascii="Times New Roman" w:hAnsi="Times New Roman" w:cs="Times New Roman"/>
          <w:sz w:val="24"/>
          <w:szCs w:val="24"/>
          <w:lang w:val="uk-UA"/>
        </w:rPr>
        <w:t>ефективність способу гасіння практично не залежить від атмосферних явищ (вітру, опадів);</w:t>
      </w:r>
    </w:p>
    <w:p w:rsidR="00AA38EE" w:rsidRDefault="000C4A6B" w:rsidP="006B1184">
      <w:pPr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798">
        <w:rPr>
          <w:rFonts w:ascii="Times New Roman" w:hAnsi="Times New Roman" w:cs="Times New Roman"/>
          <w:sz w:val="24"/>
          <w:szCs w:val="24"/>
          <w:lang w:val="uk-UA"/>
        </w:rPr>
        <w:t>при гасінні уся піна потрапляє в резервуар, що дає змогу зменшити витрату піноутворювача;</w:t>
      </w:r>
      <w:r w:rsidRPr="004C7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EE" w:rsidRPr="004C7798" w:rsidRDefault="000C4A6B" w:rsidP="006B1184">
      <w:pPr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798">
        <w:rPr>
          <w:rFonts w:ascii="Times New Roman" w:hAnsi="Times New Roman" w:cs="Times New Roman"/>
          <w:sz w:val="24"/>
          <w:szCs w:val="24"/>
          <w:lang w:val="uk-UA"/>
        </w:rPr>
        <w:t>під час пожежі в резервуарі практично виключається пошкодження обладнання установки  «Підшарового» гасіння від вибухів і теплових потоків;</w:t>
      </w:r>
      <w:r w:rsidRPr="004C7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8EE" w:rsidRPr="004C7798" w:rsidRDefault="000C4A6B" w:rsidP="006B1184">
      <w:pPr>
        <w:numPr>
          <w:ilvl w:val="0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798">
        <w:rPr>
          <w:rFonts w:ascii="Times New Roman" w:hAnsi="Times New Roman" w:cs="Times New Roman"/>
          <w:sz w:val="24"/>
          <w:szCs w:val="24"/>
          <w:lang w:val="uk-UA"/>
        </w:rPr>
        <w:t>пересувна пожежна техніка і особовий склад підрозділів ДСНС під час гасіння «</w:t>
      </w:r>
      <w:proofErr w:type="spellStart"/>
      <w:r w:rsidRPr="004C7798">
        <w:rPr>
          <w:rFonts w:ascii="Times New Roman" w:hAnsi="Times New Roman" w:cs="Times New Roman"/>
          <w:sz w:val="24"/>
          <w:szCs w:val="24"/>
          <w:lang w:val="uk-UA"/>
        </w:rPr>
        <w:t>Підшаровим</w:t>
      </w:r>
      <w:proofErr w:type="spellEnd"/>
      <w:r w:rsidRPr="004C7798">
        <w:rPr>
          <w:rFonts w:ascii="Times New Roman" w:hAnsi="Times New Roman" w:cs="Times New Roman"/>
          <w:sz w:val="24"/>
          <w:szCs w:val="24"/>
          <w:lang w:val="uk-UA"/>
        </w:rPr>
        <w:t>» способом знаходяться поза межами обвалування, що суттєво знижує ризик знищення пожежної техніки та загибелі особового складу під час пожежі</w:t>
      </w:r>
      <w:r w:rsidR="00245905">
        <w:rPr>
          <w:rFonts w:ascii="Times New Roman" w:hAnsi="Times New Roman" w:cs="Times New Roman"/>
          <w:sz w:val="24"/>
          <w:szCs w:val="24"/>
          <w:lang w:val="uk-UA"/>
        </w:rPr>
        <w:t xml:space="preserve"> рис.1</w:t>
      </w:r>
      <w:r w:rsidRPr="004C779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C7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798" w:rsidRPr="004C7798" w:rsidRDefault="004C7798" w:rsidP="006B1184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4C77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0400" cy="3352800"/>
            <wp:effectExtent l="19050" t="0" r="6350" b="0"/>
            <wp:docPr id="3" name="Рисунок 1" descr="Пожар на Гелиевом 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3" descr="Пожар на Гелиевом 0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98" w:rsidRPr="00245905" w:rsidRDefault="00245905" w:rsidP="006B1184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Рис.1. Знищений пожежний автомобіль в результаті викиду та горіння нафтопродукту</w:t>
      </w:r>
    </w:p>
    <w:p w:rsidR="00F20EEA" w:rsidRDefault="00E2215F" w:rsidP="006B1184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роботі </w:t>
      </w:r>
      <w:r w:rsidRPr="00E2215F">
        <w:rPr>
          <w:rFonts w:ascii="Times New Roman" w:hAnsi="Times New Roman" w:cs="Times New Roman"/>
          <w:sz w:val="24"/>
          <w:szCs w:val="24"/>
        </w:rPr>
        <w:t>[</w:t>
      </w:r>
      <w:r w:rsidR="00CD28A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2215F">
        <w:rPr>
          <w:rFonts w:ascii="Times New Roman" w:hAnsi="Times New Roman" w:cs="Times New Roman"/>
          <w:sz w:val="24"/>
          <w:szCs w:val="24"/>
        </w:rPr>
        <w:t>]</w:t>
      </w:r>
      <w:r w:rsidR="00CD28A8">
        <w:rPr>
          <w:rFonts w:ascii="Times New Roman" w:hAnsi="Times New Roman" w:cs="Times New Roman"/>
          <w:sz w:val="24"/>
          <w:szCs w:val="24"/>
          <w:lang w:val="uk-UA"/>
        </w:rPr>
        <w:t xml:space="preserve"> описано експеримент, в якому частково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підтверджується наша гіпотеза </w:t>
      </w:r>
      <w:r w:rsidRPr="00E2215F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2215F">
        <w:rPr>
          <w:rFonts w:ascii="Times New Roman" w:hAnsi="Times New Roman" w:cs="Times New Roman"/>
          <w:sz w:val="24"/>
          <w:szCs w:val="24"/>
        </w:rPr>
        <w:t>]</w:t>
      </w:r>
      <w:r w:rsidR="00CD28A8">
        <w:rPr>
          <w:rFonts w:ascii="Times New Roman" w:hAnsi="Times New Roman" w:cs="Times New Roman"/>
          <w:sz w:val="24"/>
          <w:szCs w:val="24"/>
          <w:lang w:val="uk-UA"/>
        </w:rPr>
        <w:t>: при «</w:t>
      </w:r>
      <w:proofErr w:type="spellStart"/>
      <w:r w:rsidR="00CD28A8">
        <w:rPr>
          <w:rFonts w:ascii="Times New Roman" w:hAnsi="Times New Roman" w:cs="Times New Roman"/>
          <w:sz w:val="24"/>
          <w:szCs w:val="24"/>
          <w:lang w:val="uk-UA"/>
        </w:rPr>
        <w:t>підшаровій</w:t>
      </w:r>
      <w:proofErr w:type="spellEnd"/>
      <w:r w:rsidR="00CD28A8">
        <w:rPr>
          <w:rFonts w:ascii="Times New Roman" w:hAnsi="Times New Roman" w:cs="Times New Roman"/>
          <w:sz w:val="24"/>
          <w:szCs w:val="24"/>
          <w:lang w:val="uk-UA"/>
        </w:rPr>
        <w:t xml:space="preserve">» подачі </w:t>
      </w:r>
      <w:r w:rsidR="00CD28A8" w:rsidRPr="00C8491A">
        <w:rPr>
          <w:rFonts w:ascii="Times New Roman" w:hAnsi="Times New Roman" w:cs="Times New Roman"/>
          <w:sz w:val="24"/>
          <w:szCs w:val="28"/>
          <w:lang w:val="uk-UA"/>
        </w:rPr>
        <w:t xml:space="preserve">компресійна піна буде швидко покривати поверхню і триматись довгий час на поверхні не руйнуючись, таким чином не давати </w:t>
      </w:r>
      <w:r w:rsidR="00CD28A8" w:rsidRPr="00C8491A">
        <w:rPr>
          <w:rFonts w:ascii="Times New Roman" w:hAnsi="Times New Roman" w:cs="Times New Roman"/>
          <w:sz w:val="24"/>
          <w:szCs w:val="28"/>
          <w:lang w:val="uk-UA"/>
        </w:rPr>
        <w:lastRenderedPageBreak/>
        <w:t>горючим парам потрапляти в зону горіння., бути екраном між полум’ям та дзеркалом ЛЗР та ГР, охолоджувати нагріті поверхні.</w:t>
      </w:r>
      <w:r w:rsidR="00CD28A8">
        <w:rPr>
          <w:rFonts w:ascii="Times New Roman" w:hAnsi="Times New Roman" w:cs="Times New Roman"/>
          <w:sz w:val="24"/>
          <w:szCs w:val="28"/>
          <w:lang w:val="uk-UA"/>
        </w:rPr>
        <w:t xml:space="preserve"> Для продовження експериментів ми виготовили малогабаритну установку для гасіння модельних пожеж в резервуарах «</w:t>
      </w:r>
      <w:proofErr w:type="spellStart"/>
      <w:r w:rsidR="00CD28A8">
        <w:rPr>
          <w:rFonts w:ascii="Times New Roman" w:hAnsi="Times New Roman" w:cs="Times New Roman"/>
          <w:sz w:val="24"/>
          <w:szCs w:val="28"/>
          <w:lang w:val="uk-UA"/>
        </w:rPr>
        <w:t>підшаровим</w:t>
      </w:r>
      <w:proofErr w:type="spellEnd"/>
      <w:r w:rsidR="00CD28A8">
        <w:rPr>
          <w:rFonts w:ascii="Times New Roman" w:hAnsi="Times New Roman" w:cs="Times New Roman"/>
          <w:sz w:val="24"/>
          <w:szCs w:val="28"/>
          <w:lang w:val="uk-UA"/>
        </w:rPr>
        <w:t>» способом.</w:t>
      </w:r>
      <w:r w:rsidR="00F20EEA">
        <w:rPr>
          <w:rFonts w:ascii="Times New Roman" w:hAnsi="Times New Roman" w:cs="Times New Roman"/>
          <w:sz w:val="24"/>
          <w:szCs w:val="28"/>
          <w:lang w:val="uk-UA"/>
        </w:rPr>
        <w:t xml:space="preserve"> За допомогою цієї установки нам вдалось провести досліди на малих площах. Був використаний резервуар </w:t>
      </w:r>
      <w:r w:rsidR="00A80C0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F20EEA">
        <w:rPr>
          <w:rFonts w:ascii="Times New Roman" w:hAnsi="Times New Roman" w:cs="Times New Roman"/>
          <w:sz w:val="24"/>
          <w:szCs w:val="28"/>
          <w:lang w:val="uk-UA"/>
        </w:rPr>
        <w:t>ємністю 50 літрів.</w:t>
      </w:r>
      <w:r w:rsidR="00A80C04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914E05" w:rsidRDefault="00914E05" w:rsidP="006B1184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Для проведення досліду було використано малогабаритну установку, ємністю 12 літрів, в яку залили 6% розчин піноутворювача.</w:t>
      </w:r>
      <w:r w:rsidR="00440B77">
        <w:rPr>
          <w:rFonts w:ascii="Times New Roman" w:hAnsi="Times New Roman" w:cs="Times New Roman"/>
          <w:sz w:val="24"/>
          <w:szCs w:val="28"/>
          <w:lang w:val="uk-UA"/>
        </w:rPr>
        <w:t xml:space="preserve"> В модельний резервуар, для проведення дослідів, було влито 25 літрів води та 7 літрів бензину А</w:t>
      </w:r>
      <w:r w:rsidR="000C4A6B">
        <w:rPr>
          <w:rFonts w:ascii="Times New Roman" w:hAnsi="Times New Roman" w:cs="Times New Roman"/>
          <w:sz w:val="24"/>
          <w:szCs w:val="28"/>
          <w:lang w:val="uk-UA"/>
        </w:rPr>
        <w:t>-</w:t>
      </w:r>
      <w:r w:rsidR="00440B77">
        <w:rPr>
          <w:rFonts w:ascii="Times New Roman" w:hAnsi="Times New Roman" w:cs="Times New Roman"/>
          <w:sz w:val="24"/>
          <w:szCs w:val="28"/>
          <w:lang w:val="uk-UA"/>
        </w:rPr>
        <w:t>95.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80C04">
        <w:rPr>
          <w:rFonts w:ascii="Times New Roman" w:hAnsi="Times New Roman" w:cs="Times New Roman"/>
          <w:sz w:val="24"/>
          <w:szCs w:val="28"/>
          <w:lang w:val="uk-UA"/>
        </w:rPr>
        <w:t>Результати досліду виявились позитивні, піна покрила поверхню горючої речовини</w:t>
      </w:r>
      <w:r>
        <w:rPr>
          <w:rFonts w:ascii="Times New Roman" w:hAnsi="Times New Roman" w:cs="Times New Roman"/>
          <w:sz w:val="24"/>
          <w:szCs w:val="28"/>
          <w:lang w:val="uk-UA"/>
        </w:rPr>
        <w:t>, тривалий час трималась на поверхні та не руйнувалась, таким чином не давши горючим парам потрапити в зону горіння.</w:t>
      </w:r>
    </w:p>
    <w:p w:rsidR="00914E05" w:rsidRPr="006B1184" w:rsidRDefault="00914E05" w:rsidP="006B1184">
      <w:pPr>
        <w:spacing w:after="0" w:line="360" w:lineRule="auto"/>
        <w:ind w:left="851" w:firstLine="709"/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CD28A8" w:rsidRPr="00F20EEA" w:rsidRDefault="00440B77" w:rsidP="006B1184">
      <w:pPr>
        <w:spacing w:after="0" w:line="360" w:lineRule="auto"/>
        <w:ind w:left="851" w:firstLine="709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Досліди на малих площах дали позитивний результат, о</w:t>
      </w:r>
      <w:r w:rsidR="00CD28A8">
        <w:rPr>
          <w:rFonts w:ascii="Times New Roman" w:hAnsi="Times New Roman" w:cs="Times New Roman"/>
          <w:sz w:val="24"/>
          <w:szCs w:val="28"/>
          <w:lang w:val="uk-UA"/>
        </w:rPr>
        <w:t xml:space="preserve">днак, для більш якісного аналізу і проміжного висновку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потрібно визначити низку показників піноутворювача, інтенсивність розтікання піни, її кратність та стійкість. Також </w:t>
      </w:r>
      <w:r w:rsidR="00CD28A8">
        <w:rPr>
          <w:rFonts w:ascii="Times New Roman" w:hAnsi="Times New Roman" w:cs="Times New Roman"/>
          <w:sz w:val="24"/>
          <w:szCs w:val="28"/>
          <w:lang w:val="uk-UA"/>
        </w:rPr>
        <w:t>дані експерименти потрібно провести на пожежах більшої площі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654A5B" w:rsidRDefault="00654A5B" w:rsidP="006B1184">
      <w:pPr>
        <w:spacing w:after="0" w:line="360" w:lineRule="auto"/>
        <w:ind w:left="851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654A5B" w:rsidRDefault="00654A5B" w:rsidP="006B1184">
      <w:pPr>
        <w:spacing w:after="0" w:line="360" w:lineRule="auto"/>
        <w:ind w:left="851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CD28A8" w:rsidRDefault="00CD28A8" w:rsidP="006B1184">
      <w:pPr>
        <w:spacing w:after="0" w:line="360" w:lineRule="auto"/>
        <w:ind w:left="851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54A5B" w:rsidRDefault="00CC1E10" w:rsidP="006B1184">
      <w:pPr>
        <w:spacing w:after="0" w:line="360" w:lineRule="auto"/>
        <w:ind w:left="85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627A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використаної літератури</w:t>
      </w:r>
    </w:p>
    <w:p w:rsidR="0091627A" w:rsidRPr="0091627A" w:rsidRDefault="0091627A" w:rsidP="006B1184">
      <w:pPr>
        <w:spacing w:after="0" w:line="360" w:lineRule="auto"/>
        <w:ind w:left="851"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1627A" w:rsidRPr="0091627A" w:rsidRDefault="0091627A" w:rsidP="0091627A">
      <w:pPr>
        <w:pStyle w:val="a4"/>
        <w:numPr>
          <w:ilvl w:val="0"/>
          <w:numId w:val="5"/>
        </w:numPr>
        <w:spacing w:before="100" w:beforeAutospacing="1" w:after="100" w:afterAutospacing="1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Смиловенко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Малашенко С.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Абрамович А.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9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"МОДЕЛЬ ДВИЖЕНИЯ ОГНЕТУШАЩЕЙ ПЕНЫ В СЛОЕ НЕФТЕПРОДУКТА" Вестник Университета гражданской защиты МЧС Беларуси, </w:t>
      </w:r>
      <w:proofErr w:type="spellStart"/>
      <w:r w:rsidRPr="0091627A">
        <w:rPr>
          <w:rFonts w:ascii="Times New Roman" w:eastAsia="Times New Roman" w:hAnsi="Times New Roman" w:cs="Times New Roman"/>
          <w:sz w:val="24"/>
          <w:szCs w:val="24"/>
          <w:lang w:eastAsia="ru-RU"/>
        </w:rPr>
        <w:t>vol</w:t>
      </w:r>
      <w:proofErr w:type="spellEnd"/>
      <w:r w:rsidRPr="009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7, </w:t>
      </w:r>
      <w:proofErr w:type="spellStart"/>
      <w:r w:rsidRPr="0091627A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916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1, 2023, </w:t>
      </w:r>
      <w:proofErr w:type="spellStart"/>
      <w:r w:rsidRPr="0091627A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Pr="0091627A">
        <w:rPr>
          <w:rFonts w:ascii="Times New Roman" w:eastAsia="Times New Roman" w:hAnsi="Times New Roman" w:cs="Times New Roman"/>
          <w:sz w:val="24"/>
          <w:szCs w:val="24"/>
          <w:lang w:eastAsia="ru-RU"/>
        </w:rPr>
        <w:t>. 64-74.</w:t>
      </w:r>
    </w:p>
    <w:p w:rsidR="00CD28A8" w:rsidRPr="0091627A" w:rsidRDefault="00CD28A8" w:rsidP="0091627A">
      <w:pPr>
        <w:pStyle w:val="a4"/>
        <w:spacing w:after="0" w:line="360" w:lineRule="auto"/>
        <w:ind w:left="851" w:firstLine="851"/>
        <w:rPr>
          <w:rFonts w:ascii="Times New Roman" w:hAnsi="Times New Roman" w:cs="Times New Roman"/>
          <w:sz w:val="24"/>
          <w:szCs w:val="24"/>
        </w:rPr>
      </w:pPr>
    </w:p>
    <w:p w:rsidR="00CD28A8" w:rsidRPr="0091627A" w:rsidRDefault="0091627A" w:rsidP="0091627A">
      <w:pPr>
        <w:pStyle w:val="a4"/>
        <w:numPr>
          <w:ilvl w:val="0"/>
          <w:numId w:val="5"/>
        </w:numPr>
        <w:spacing w:after="0" w:line="360" w:lineRule="auto"/>
        <w:ind w:firstLine="851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91627A">
        <w:rPr>
          <w:rFonts w:ascii="Times New Roman" w:hAnsi="Times New Roman" w:cs="Times New Roman"/>
          <w:sz w:val="24"/>
          <w:szCs w:val="24"/>
        </w:rPr>
        <w:t xml:space="preserve">Ковалишин, В. В., Р. Я. </w:t>
      </w:r>
      <w:proofErr w:type="spellStart"/>
      <w:r w:rsidRPr="0091627A">
        <w:rPr>
          <w:rFonts w:ascii="Times New Roman" w:hAnsi="Times New Roman" w:cs="Times New Roman"/>
          <w:sz w:val="24"/>
          <w:szCs w:val="24"/>
        </w:rPr>
        <w:t>Лозинський</w:t>
      </w:r>
      <w:proofErr w:type="spellEnd"/>
      <w:r w:rsidRPr="0091627A">
        <w:rPr>
          <w:rFonts w:ascii="Times New Roman" w:hAnsi="Times New Roman" w:cs="Times New Roman"/>
          <w:sz w:val="24"/>
          <w:szCs w:val="24"/>
        </w:rPr>
        <w:t xml:space="preserve">, Т. М. Войтович, </w:t>
      </w:r>
      <w:proofErr w:type="spellStart"/>
      <w:r w:rsidRPr="0091627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1627A">
        <w:rPr>
          <w:rFonts w:ascii="Times New Roman" w:hAnsi="Times New Roman" w:cs="Times New Roman"/>
          <w:sz w:val="24"/>
          <w:szCs w:val="24"/>
        </w:rPr>
        <w:t xml:space="preserve"> Н. Р. Великий. "РОЗШИРЕННЯ ГАЛУЗІ ЗАСТОСУВАННЯ КОМПРЕСІЙНОЇ ПІНИ." </w:t>
      </w:r>
      <w:r w:rsidRPr="0091627A">
        <w:rPr>
          <w:rFonts w:ascii="Times New Roman" w:hAnsi="Times New Roman" w:cs="Times New Roman"/>
          <w:i/>
          <w:iCs/>
          <w:sz w:val="24"/>
          <w:szCs w:val="24"/>
        </w:rPr>
        <w:t>ЗБІРНИК НАУКОВИХ ПРАЦЬ</w:t>
      </w:r>
      <w:r w:rsidRPr="0091627A">
        <w:rPr>
          <w:rFonts w:ascii="Times New Roman" w:hAnsi="Times New Roman" w:cs="Times New Roman"/>
          <w:sz w:val="24"/>
          <w:szCs w:val="24"/>
        </w:rPr>
        <w:t xml:space="preserve"> (2022).</w:t>
      </w:r>
    </w:p>
    <w:p w:rsidR="004C7798" w:rsidRPr="0091627A" w:rsidRDefault="004C7798" w:rsidP="0091627A">
      <w:pPr>
        <w:pStyle w:val="a4"/>
        <w:spacing w:after="0" w:line="360" w:lineRule="auto"/>
        <w:ind w:left="851" w:firstLine="851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C7798" w:rsidRPr="00CD28A8" w:rsidRDefault="0091627A" w:rsidP="0091627A">
      <w:pPr>
        <w:pStyle w:val="a4"/>
        <w:numPr>
          <w:ilvl w:val="0"/>
          <w:numId w:val="5"/>
        </w:numPr>
        <w:spacing w:after="0" w:line="360" w:lineRule="auto"/>
        <w:ind w:firstLine="851"/>
        <w:rPr>
          <w:rStyle w:val="a5"/>
          <w:rFonts w:ascii="Times New Roman" w:hAnsi="Times New Roman" w:cs="Times New Roman"/>
          <w:b w:val="0"/>
          <w:sz w:val="24"/>
          <w:szCs w:val="21"/>
          <w:lang w:val="uk-UA"/>
        </w:rPr>
      </w:pPr>
      <w:r w:rsidRPr="009162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В. В. </w:t>
      </w:r>
      <w:proofErr w:type="spellStart"/>
      <w:r w:rsidRPr="0091627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Ковалишин</w:t>
      </w:r>
      <w:proofErr w:type="spellEnd"/>
      <w:r w:rsidRPr="009162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О. Е. Васильєва, Н. М. </w:t>
      </w:r>
      <w:proofErr w:type="spellStart"/>
      <w:r w:rsidRPr="0091627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Козяр</w:t>
      </w:r>
      <w:proofErr w:type="spellEnd"/>
      <w:r w:rsidRPr="009162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// Пінне гасіння, Львів - 2007: </w:t>
      </w:r>
      <w:proofErr w:type="spellStart"/>
      <w:r w:rsidRPr="0091627A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Сполом</w:t>
      </w:r>
      <w:proofErr w:type="spellEnd"/>
      <w:r w:rsidRPr="0091627A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CD28A8" w:rsidRPr="00654A5B" w:rsidRDefault="00CD28A8" w:rsidP="00CD28A8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D28A8" w:rsidRPr="00654A5B" w:rsidSect="006B118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7210"/>
    <w:multiLevelType w:val="hybridMultilevel"/>
    <w:tmpl w:val="5B0AE254"/>
    <w:lvl w:ilvl="0" w:tplc="5E8A716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0C8D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6F61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63A7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AFD6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E009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0696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2812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64B5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04350B"/>
    <w:multiLevelType w:val="hybridMultilevel"/>
    <w:tmpl w:val="4614DD6A"/>
    <w:lvl w:ilvl="0" w:tplc="A89C07E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2389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AA0E3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201BA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0787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CE9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4F8A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C86B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2F1A8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D0678C"/>
    <w:multiLevelType w:val="hybridMultilevel"/>
    <w:tmpl w:val="844E16D0"/>
    <w:lvl w:ilvl="0" w:tplc="8A4E619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FC7FB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EDFB4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68860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8123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CC4C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87BC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83AA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4635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4442A4"/>
    <w:multiLevelType w:val="hybridMultilevel"/>
    <w:tmpl w:val="45B6A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21948"/>
    <w:multiLevelType w:val="hybridMultilevel"/>
    <w:tmpl w:val="8BB2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56A"/>
    <w:rsid w:val="000C4A6B"/>
    <w:rsid w:val="000D0AAA"/>
    <w:rsid w:val="000E7549"/>
    <w:rsid w:val="001A4BDE"/>
    <w:rsid w:val="00214B05"/>
    <w:rsid w:val="00245905"/>
    <w:rsid w:val="002610BB"/>
    <w:rsid w:val="003D11AC"/>
    <w:rsid w:val="00440B77"/>
    <w:rsid w:val="004971D1"/>
    <w:rsid w:val="004C7798"/>
    <w:rsid w:val="00635951"/>
    <w:rsid w:val="00654A5B"/>
    <w:rsid w:val="00670D1E"/>
    <w:rsid w:val="006B1184"/>
    <w:rsid w:val="0084656A"/>
    <w:rsid w:val="00914E05"/>
    <w:rsid w:val="0091627A"/>
    <w:rsid w:val="00A80C04"/>
    <w:rsid w:val="00AA38EE"/>
    <w:rsid w:val="00C75CDC"/>
    <w:rsid w:val="00CC1E10"/>
    <w:rsid w:val="00CD28A8"/>
    <w:rsid w:val="00CF2D17"/>
    <w:rsid w:val="00E2215F"/>
    <w:rsid w:val="00F20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288A"/>
  <w15:docId w15:val="{A71A13F0-3896-433D-9137-67ED31AC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4A5B"/>
    <w:pPr>
      <w:ind w:left="720"/>
      <w:contextualSpacing/>
    </w:pPr>
  </w:style>
  <w:style w:type="character" w:styleId="a5">
    <w:name w:val="Strong"/>
    <w:uiPriority w:val="22"/>
    <w:qFormat/>
    <w:rsid w:val="00CD28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2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25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473C6-A89D-4425-B757-399F229B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2023-04-24T13:18:00Z</dcterms:created>
  <dcterms:modified xsi:type="dcterms:W3CDTF">2023-04-28T09:44:00Z</dcterms:modified>
</cp:coreProperties>
</file>