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C8" w:rsidRPr="003274C8" w:rsidRDefault="003274C8" w:rsidP="000C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4C8">
        <w:rPr>
          <w:rFonts w:ascii="Times New Roman" w:hAnsi="Times New Roman" w:cs="Times New Roman"/>
          <w:sz w:val="24"/>
          <w:szCs w:val="24"/>
          <w:lang w:val="uk-UA"/>
        </w:rPr>
        <w:t>УДК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681.3</w:t>
      </w:r>
    </w:p>
    <w:p w:rsidR="003274C8" w:rsidRPr="003274C8" w:rsidRDefault="003274C8" w:rsidP="000C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829" w:rsidRPr="003274C8" w:rsidRDefault="009F2829" w:rsidP="003274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74C8">
        <w:rPr>
          <w:rFonts w:ascii="Times New Roman" w:hAnsi="Times New Roman" w:cs="Times New Roman"/>
          <w:i/>
          <w:sz w:val="24"/>
          <w:szCs w:val="24"/>
          <w:lang w:val="uk-UA"/>
        </w:rPr>
        <w:t>Царук</w:t>
      </w:r>
      <w:proofErr w:type="spellEnd"/>
      <w:r w:rsidRPr="003274C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Т.Р.</w:t>
      </w:r>
      <w:r w:rsidR="00327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4C8" w:rsidRPr="00F7449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9F2829" w:rsidRPr="000C19A4" w:rsidRDefault="009F2829" w:rsidP="000C19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2829" w:rsidRPr="000C19A4" w:rsidRDefault="00DB3DE2" w:rsidP="007B61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АНАЛІЗ</w:t>
      </w:r>
      <w:r w:rsidR="002248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ЕФЕКТИВНОСТІ ІСНУЮЧОЇ СИСТЕМИ </w:t>
      </w:r>
      <w:r w:rsidR="009B0908" w:rsidRPr="000C19A4">
        <w:rPr>
          <w:rFonts w:ascii="Times New Roman" w:hAnsi="Times New Roman" w:cs="Times New Roman"/>
          <w:b/>
          <w:sz w:val="24"/>
          <w:szCs w:val="24"/>
          <w:lang w:val="uk-UA"/>
        </w:rPr>
        <w:t>СУМІЩЕННЯ РЕЖИМІВ РОБОТИ ДВИГУНА ТА ПОМПИ ПРОТИПОЖЕЖНОГО АВТОМОБІЛЯ</w:t>
      </w:r>
    </w:p>
    <w:p w:rsidR="009F2829" w:rsidRPr="000C19A4" w:rsidRDefault="009F2829" w:rsidP="000C19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7EDA" w:rsidRPr="00AF057F" w:rsidRDefault="00037EDA" w:rsidP="000C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Проблема енергетичної досконалості не може не стосуватись </w:t>
      </w:r>
      <w:r w:rsidR="009F2829" w:rsidRPr="00AF057F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пожежної техніки. </w:t>
      </w:r>
      <w:r w:rsidR="00281362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Актуальною 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в цьому сенсі є проблема раціонального (оптимального) суміщення режимів роботи двигуна внутрішнього згоряння та насосної системи </w:t>
      </w:r>
      <w:r w:rsidR="009F2829" w:rsidRPr="00AF057F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>пожежного автомобіля</w:t>
      </w:r>
      <w:r w:rsidR="008C3F8E" w:rsidRPr="00AF057F">
        <w:rPr>
          <w:rFonts w:ascii="Times New Roman" w:hAnsi="Times New Roman" w:cs="Times New Roman"/>
          <w:sz w:val="24"/>
          <w:szCs w:val="24"/>
        </w:rPr>
        <w:t xml:space="preserve"> [1]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E1A64" w:rsidRPr="00AF057F" w:rsidRDefault="0081720F" w:rsidP="00FC6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7F">
        <w:rPr>
          <w:rFonts w:ascii="Times New Roman" w:hAnsi="Times New Roman" w:cs="Times New Roman"/>
          <w:sz w:val="24"/>
          <w:szCs w:val="24"/>
          <w:lang w:val="uk-UA"/>
        </w:rPr>
        <w:t>До п</w:t>
      </w:r>
      <w:r w:rsidR="009F2829" w:rsidRPr="00AF057F">
        <w:rPr>
          <w:rFonts w:ascii="Times New Roman" w:hAnsi="Times New Roman" w:cs="Times New Roman"/>
          <w:sz w:val="24"/>
          <w:szCs w:val="24"/>
          <w:lang w:val="uk-UA"/>
        </w:rPr>
        <w:t>ротип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>ожежних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автомобілі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пред</w:t>
      </w:r>
      <w:r w:rsidR="007228F7" w:rsidRPr="00AF057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>являють дві основні вимоги: висок</w:t>
      </w:r>
      <w:r w:rsidR="003820A8" w:rsidRPr="00AF057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питом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потужн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0A8" w:rsidRPr="00AF057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прохідніст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AED" w:rsidRPr="00AF057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вигуни </w:t>
      </w:r>
      <w:r w:rsidR="009F2829" w:rsidRPr="00AF057F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>пожежних автомобіл</w:t>
      </w:r>
      <w:r w:rsidR="003820A8" w:rsidRPr="00AF057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експлуатують </w:t>
      </w:r>
      <w:r w:rsidR="003820A8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>в транспортному</w:t>
      </w:r>
      <w:r w:rsidR="003820A8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, так і в </w:t>
      </w:r>
      <w:r w:rsidR="007E1A64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стаціонарному режимах. Споживачами енергії на </w:t>
      </w:r>
      <w:r w:rsidR="009F2829" w:rsidRPr="00AF057F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="003820A8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пожежних автомобілях </w:t>
      </w:r>
      <w:r w:rsidR="00354758" w:rsidRPr="00510109">
        <w:rPr>
          <w:rFonts w:ascii="Times New Roman" w:hAnsi="Times New Roman" w:cs="Times New Roman"/>
          <w:sz w:val="24"/>
          <w:szCs w:val="24"/>
          <w:lang w:val="uk-UA"/>
        </w:rPr>
        <w:t xml:space="preserve">можуть бути генератори електричного струму, лебідки, компресори, приводи механізмів пожежних </w:t>
      </w:r>
      <w:proofErr w:type="spellStart"/>
      <w:r w:rsidR="00354758" w:rsidRPr="00510109">
        <w:rPr>
          <w:rFonts w:ascii="Times New Roman" w:hAnsi="Times New Roman" w:cs="Times New Roman"/>
          <w:sz w:val="24"/>
          <w:szCs w:val="24"/>
          <w:lang w:val="uk-UA"/>
        </w:rPr>
        <w:t>автодрабин</w:t>
      </w:r>
      <w:proofErr w:type="spellEnd"/>
      <w:r w:rsidR="00354758" w:rsidRPr="0051010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354758" w:rsidRPr="00510109">
        <w:rPr>
          <w:rFonts w:ascii="Times New Roman" w:hAnsi="Times New Roman" w:cs="Times New Roman"/>
          <w:sz w:val="24"/>
          <w:szCs w:val="24"/>
          <w:lang w:val="uk-UA"/>
        </w:rPr>
        <w:t>автоколінчастих</w:t>
      </w:r>
      <w:proofErr w:type="spellEnd"/>
      <w:r w:rsidR="00354758" w:rsidRPr="00510109">
        <w:rPr>
          <w:rFonts w:ascii="Times New Roman" w:hAnsi="Times New Roman" w:cs="Times New Roman"/>
          <w:sz w:val="24"/>
          <w:szCs w:val="24"/>
          <w:lang w:val="uk-UA"/>
        </w:rPr>
        <w:t xml:space="preserve"> підйомників, а також </w:t>
      </w:r>
      <w:r w:rsidR="00DB3DE2" w:rsidRPr="00510109">
        <w:rPr>
          <w:rFonts w:ascii="Times New Roman" w:hAnsi="Times New Roman" w:cs="Times New Roman"/>
          <w:sz w:val="24"/>
          <w:szCs w:val="24"/>
          <w:lang w:val="uk-UA"/>
        </w:rPr>
        <w:t>помпи</w:t>
      </w:r>
      <w:r w:rsidR="00354758" w:rsidRPr="00510109">
        <w:rPr>
          <w:rFonts w:ascii="Times New Roman" w:hAnsi="Times New Roman" w:cs="Times New Roman"/>
          <w:sz w:val="24"/>
          <w:szCs w:val="24"/>
          <w:lang w:val="uk-UA"/>
        </w:rPr>
        <w:t xml:space="preserve"> на автоцистернах та </w:t>
      </w:r>
      <w:proofErr w:type="spellStart"/>
      <w:r w:rsidR="00354758" w:rsidRPr="00510109">
        <w:rPr>
          <w:rFonts w:ascii="Times New Roman" w:hAnsi="Times New Roman" w:cs="Times New Roman"/>
          <w:sz w:val="24"/>
          <w:szCs w:val="24"/>
          <w:lang w:val="uk-UA"/>
        </w:rPr>
        <w:t>автонасосах</w:t>
      </w:r>
      <w:proofErr w:type="spellEnd"/>
      <w:r w:rsidR="00354758" w:rsidRPr="00AF05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579A" w:rsidRPr="00AF057F" w:rsidRDefault="00037EDA" w:rsidP="000C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7F">
        <w:rPr>
          <w:rFonts w:ascii="Times New Roman" w:hAnsi="Times New Roman" w:cs="Times New Roman"/>
          <w:sz w:val="24"/>
          <w:szCs w:val="24"/>
          <w:lang w:val="uk-UA"/>
        </w:rPr>
        <w:t>Потужність споживачів енергії</w:t>
      </w:r>
      <w:r w:rsidR="00B85AED" w:rsidRPr="00AF057F">
        <w:rPr>
          <w:rFonts w:ascii="Times New Roman" w:hAnsi="Times New Roman" w:cs="Times New Roman"/>
          <w:sz w:val="24"/>
          <w:szCs w:val="24"/>
          <w:lang w:val="uk-UA"/>
        </w:rPr>
        <w:t>, які встановлюються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пожежних машинах порівняно невелика, та й експлуатуються вони </w:t>
      </w:r>
      <w:r w:rsidR="00E6579A" w:rsidRPr="00AF057F">
        <w:rPr>
          <w:rFonts w:ascii="Times New Roman" w:hAnsi="Times New Roman" w:cs="Times New Roman"/>
          <w:sz w:val="24"/>
          <w:szCs w:val="24"/>
          <w:lang w:val="uk-UA"/>
        </w:rPr>
        <w:t>здебільшого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(крім </w:t>
      </w:r>
      <w:r w:rsidR="00287C32" w:rsidRPr="00AF057F">
        <w:rPr>
          <w:rFonts w:ascii="Times New Roman" w:hAnsi="Times New Roman" w:cs="Times New Roman"/>
          <w:sz w:val="24"/>
          <w:szCs w:val="24"/>
          <w:lang w:val="uk-UA"/>
        </w:rPr>
        <w:t>обладнаних помпами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) при постійних швидкісних режимах. </w:t>
      </w:r>
      <w:r w:rsidR="00E6579A" w:rsidRPr="00AF057F">
        <w:rPr>
          <w:rFonts w:ascii="Times New Roman" w:hAnsi="Times New Roman" w:cs="Times New Roman"/>
          <w:sz w:val="24"/>
          <w:szCs w:val="24"/>
          <w:lang w:val="uk-UA"/>
        </w:rPr>
        <w:t>Тому у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згодження режимів їх 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спільної 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експлуатації 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двигун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9D7" w:rsidRPr="00AF057F">
        <w:rPr>
          <w:rFonts w:ascii="Times New Roman" w:hAnsi="Times New Roman" w:cs="Times New Roman"/>
          <w:sz w:val="24"/>
          <w:szCs w:val="24"/>
          <w:lang w:val="uk-UA"/>
        </w:rPr>
        <w:t>здебільшого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швидкісними параметрами</w:t>
      </w:r>
      <w:r w:rsidR="00E6579A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і є доволі складним завданням.</w:t>
      </w:r>
    </w:p>
    <w:p w:rsidR="00037EDA" w:rsidRPr="00AF057F" w:rsidRDefault="00752CCD" w:rsidP="00FC6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0109">
        <w:rPr>
          <w:rFonts w:ascii="Times New Roman" w:hAnsi="Times New Roman" w:cs="Times New Roman"/>
          <w:sz w:val="24"/>
          <w:szCs w:val="24"/>
          <w:lang w:val="uk-UA"/>
        </w:rPr>
        <w:t>Пожежні помпи експлуатуються в широкому інтервалі величин розвиваючих ними напорів і подач води.</w:t>
      </w:r>
      <w:r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EDA" w:rsidRPr="00AF057F">
        <w:rPr>
          <w:rFonts w:ascii="Times New Roman" w:hAnsi="Times New Roman" w:cs="Times New Roman"/>
          <w:sz w:val="24"/>
          <w:szCs w:val="24"/>
          <w:lang w:val="uk-UA"/>
        </w:rPr>
        <w:t>Зміни з максимальних до мінімальних значень величин напор</w:t>
      </w:r>
      <w:r w:rsidR="00287C32" w:rsidRPr="00AF057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37EDA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і подач</w:t>
      </w:r>
      <w:r w:rsidR="00287C32" w:rsidRPr="00AF057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37EDA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води утворюють поле експлуатації </w:t>
      </w:r>
      <w:r w:rsidR="00D437D5" w:rsidRPr="00AF057F">
        <w:rPr>
          <w:rFonts w:ascii="Times New Roman" w:hAnsi="Times New Roman" w:cs="Times New Roman"/>
          <w:sz w:val="24"/>
          <w:szCs w:val="24"/>
          <w:lang w:val="uk-UA"/>
        </w:rPr>
        <w:t>помп</w:t>
      </w:r>
      <w:r w:rsidR="00037EDA" w:rsidRPr="00AF05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482C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Цілком</w:t>
      </w:r>
      <w:r w:rsidR="00037EDA" w:rsidRPr="00AF0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82C" w:rsidRPr="00AF057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37EDA" w:rsidRPr="00AF057F">
        <w:rPr>
          <w:rFonts w:ascii="Times New Roman" w:hAnsi="Times New Roman" w:cs="Times New Roman"/>
          <w:sz w:val="24"/>
          <w:szCs w:val="24"/>
          <w:lang w:val="uk-UA"/>
        </w:rPr>
        <w:t>риродно, що кожній точці цього поля відповідатиме величина споживаної потужності. Ось ці потужності і необхідно погодити з полем потужності, яке віддає двигун в стаціонарному режимі роботи.</w:t>
      </w:r>
    </w:p>
    <w:p w:rsidR="0022482C" w:rsidRPr="00510109" w:rsidRDefault="0022482C" w:rsidP="00510109">
      <w:pPr>
        <w:pStyle w:val="top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10109">
        <w:rPr>
          <w:rFonts w:ascii="Times New Roman" w:hAnsi="Times New Roman" w:cs="Times New Roman"/>
          <w:color w:val="000000"/>
          <w:lang w:val="uk-UA"/>
        </w:rPr>
        <w:t xml:space="preserve">Одна з найскладніших граней проблеми суміщення </w:t>
      </w:r>
      <w:r w:rsidR="007B6108">
        <w:rPr>
          <w:rFonts w:ascii="Times New Roman" w:hAnsi="Times New Roman" w:cs="Times New Roman"/>
          <w:color w:val="000000"/>
          <w:lang w:val="uk-UA"/>
        </w:rPr>
        <w:t>–</w:t>
      </w:r>
      <w:r w:rsidRPr="00510109">
        <w:rPr>
          <w:rFonts w:ascii="Times New Roman" w:hAnsi="Times New Roman" w:cs="Times New Roman"/>
          <w:color w:val="000000"/>
          <w:lang w:val="uk-UA"/>
        </w:rPr>
        <w:t xml:space="preserve"> розуміння й т</w:t>
      </w:r>
      <w:r w:rsidR="00FC6AE0" w:rsidRPr="00510109">
        <w:rPr>
          <w:rFonts w:ascii="Times New Roman" w:hAnsi="Times New Roman" w:cs="Times New Roman"/>
          <w:color w:val="000000"/>
          <w:lang w:val="uk-UA"/>
        </w:rPr>
        <w:t>рактування пріоритетів режимів.</w:t>
      </w:r>
    </w:p>
    <w:p w:rsidR="00485532" w:rsidRPr="00AF057F" w:rsidRDefault="00485532" w:rsidP="000C19A4">
      <w:pPr>
        <w:pStyle w:val="top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F057F">
        <w:rPr>
          <w:rFonts w:ascii="Times New Roman" w:hAnsi="Times New Roman" w:cs="Times New Roman"/>
          <w:color w:val="000000"/>
          <w:lang w:val="uk-UA"/>
        </w:rPr>
        <w:t xml:space="preserve">До питання раціонального суміщення режимів роботи двигунів та </w:t>
      </w:r>
      <w:r w:rsidR="004C188F" w:rsidRPr="00AF057F">
        <w:rPr>
          <w:rFonts w:ascii="Times New Roman" w:hAnsi="Times New Roman" w:cs="Times New Roman"/>
          <w:color w:val="000000"/>
          <w:lang w:val="uk-UA"/>
        </w:rPr>
        <w:t>помп</w:t>
      </w:r>
      <w:r w:rsidRPr="00AF057F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228F7" w:rsidRPr="00AF057F">
        <w:rPr>
          <w:rFonts w:ascii="Times New Roman" w:hAnsi="Times New Roman" w:cs="Times New Roman"/>
          <w:color w:val="000000"/>
          <w:lang w:val="uk-UA"/>
        </w:rPr>
        <w:t>проти</w:t>
      </w:r>
      <w:r w:rsidRPr="00AF057F">
        <w:rPr>
          <w:rFonts w:ascii="Times New Roman" w:hAnsi="Times New Roman" w:cs="Times New Roman"/>
          <w:color w:val="000000"/>
          <w:lang w:val="uk-UA"/>
        </w:rPr>
        <w:t>пожежних автомобілів звертались у сво</w:t>
      </w:r>
      <w:r w:rsidR="007B6108">
        <w:rPr>
          <w:rFonts w:ascii="Times New Roman" w:hAnsi="Times New Roman" w:cs="Times New Roman"/>
          <w:color w:val="000000"/>
          <w:lang w:val="uk-UA"/>
        </w:rPr>
        <w:t xml:space="preserve">їх працях М.Д. Безбородько, А.Ф. Іванов, А.С. </w:t>
      </w:r>
      <w:proofErr w:type="spellStart"/>
      <w:r w:rsidR="007B6108">
        <w:rPr>
          <w:rFonts w:ascii="Times New Roman" w:hAnsi="Times New Roman" w:cs="Times New Roman"/>
          <w:color w:val="000000"/>
          <w:lang w:val="uk-UA"/>
        </w:rPr>
        <w:t>Мечев</w:t>
      </w:r>
      <w:proofErr w:type="spellEnd"/>
      <w:r w:rsidR="007B6108">
        <w:rPr>
          <w:rFonts w:ascii="Times New Roman" w:hAnsi="Times New Roman" w:cs="Times New Roman"/>
          <w:color w:val="000000"/>
          <w:lang w:val="uk-UA"/>
        </w:rPr>
        <w:t xml:space="preserve">, О.М. </w:t>
      </w:r>
      <w:proofErr w:type="spellStart"/>
      <w:r w:rsidR="007B6108">
        <w:rPr>
          <w:rFonts w:ascii="Times New Roman" w:hAnsi="Times New Roman" w:cs="Times New Roman"/>
          <w:color w:val="000000"/>
          <w:lang w:val="uk-UA"/>
        </w:rPr>
        <w:t>Курбатський</w:t>
      </w:r>
      <w:proofErr w:type="spellEnd"/>
      <w:r w:rsidR="007B6108">
        <w:rPr>
          <w:rFonts w:ascii="Times New Roman" w:hAnsi="Times New Roman" w:cs="Times New Roman"/>
          <w:color w:val="000000"/>
          <w:lang w:val="uk-UA"/>
        </w:rPr>
        <w:t>, Н.</w:t>
      </w:r>
      <w:bookmarkStart w:id="0" w:name="_GoBack"/>
      <w:bookmarkEnd w:id="0"/>
      <w:r w:rsidRPr="00AF057F">
        <w:rPr>
          <w:rFonts w:ascii="Times New Roman" w:hAnsi="Times New Roman" w:cs="Times New Roman"/>
          <w:color w:val="000000"/>
          <w:lang w:val="uk-UA"/>
        </w:rPr>
        <w:t xml:space="preserve">Б. </w:t>
      </w:r>
      <w:proofErr w:type="spellStart"/>
      <w:r w:rsidRPr="00AF057F">
        <w:rPr>
          <w:rFonts w:ascii="Times New Roman" w:hAnsi="Times New Roman" w:cs="Times New Roman"/>
          <w:color w:val="000000"/>
          <w:lang w:val="uk-UA"/>
        </w:rPr>
        <w:t>Кащеєв</w:t>
      </w:r>
      <w:proofErr w:type="spellEnd"/>
      <w:r w:rsidR="00E6579A" w:rsidRPr="00AF057F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C3F8E" w:rsidRPr="00AF057F">
        <w:rPr>
          <w:rFonts w:ascii="Times New Roman" w:hAnsi="Times New Roman" w:cs="Times New Roman"/>
          <w:color w:val="000000"/>
          <w:lang w:val="uk-UA"/>
        </w:rPr>
        <w:t xml:space="preserve">[2]. </w:t>
      </w:r>
      <w:r w:rsidRPr="00AF057F">
        <w:rPr>
          <w:rFonts w:ascii="Times New Roman" w:hAnsi="Times New Roman" w:cs="Times New Roman"/>
          <w:color w:val="000000"/>
          <w:lang w:val="uk-UA"/>
        </w:rPr>
        <w:t xml:space="preserve">Загалом склалась думка, що «погодження режимів експлуатації» двигунів та споживачів енергії відносно малої потужності на </w:t>
      </w:r>
      <w:r w:rsidR="00D437D5" w:rsidRPr="00AF057F">
        <w:rPr>
          <w:rFonts w:ascii="Times New Roman" w:hAnsi="Times New Roman" w:cs="Times New Roman"/>
          <w:color w:val="000000"/>
          <w:lang w:val="uk-UA"/>
        </w:rPr>
        <w:t>проти</w:t>
      </w:r>
      <w:r w:rsidRPr="00AF057F">
        <w:rPr>
          <w:rFonts w:ascii="Times New Roman" w:hAnsi="Times New Roman" w:cs="Times New Roman"/>
          <w:color w:val="000000"/>
          <w:lang w:val="uk-UA"/>
        </w:rPr>
        <w:t xml:space="preserve">пожежних машинах доречно здійснювати суто за швидкісними параметрами. </w:t>
      </w:r>
    </w:p>
    <w:p w:rsidR="00485532" w:rsidRPr="00510109" w:rsidRDefault="0022482C" w:rsidP="001A5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Це, звісно, перш за все стосується споживачів енергії, яким властиві однозначно визначені швидкісні режими функціонування. А от пожежних </w:t>
      </w:r>
      <w:r w:rsidR="0072525E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помп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які вимушено можуть 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працювати за цілком різних поєднань напорів та подач вогнегасної рідини, це ніби не має стосуватись. </w:t>
      </w:r>
      <w:r w:rsidR="00281362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Але</w:t>
      </w:r>
      <w:r w:rsidR="006F1536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сенс наголосити, що методологія суміщення окремих режимів повинна б випливати з методології суміщення множин режимів як окремий випадок. Отож принцип суміщення режимів суто за швидкісними параметрами мав би природно випливати з методології множинного суміщення режимів.</w:t>
      </w:r>
    </w:p>
    <w:p w:rsidR="00FC6AE0" w:rsidRPr="00510109" w:rsidRDefault="00FC6AE0" w:rsidP="005101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Зазвичай у разі незмінюваного режиму роботи двигуна (у разі застосування його для приводу, скажімо, суто </w:t>
      </w:r>
      <w:r w:rsidR="004C188F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помпи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генератора, компресора) рекомендують керуватись тим, що споживана потужність не повинна перевищувати 75 % максимальної потужності двигуна, а робоча частота обертання колінчастого вала двигуна не повинна перевищувати 80 % від номінальної. При цьому запас потужності в робочому режимі повинен бути завжди не меншим як 8 %</w:t>
      </w:r>
      <w:r w:rsidR="0022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27160" w:rsidRPr="00CF5742">
        <w:rPr>
          <w:rFonts w:ascii="Times New Roman" w:hAnsi="Times New Roman"/>
          <w:color w:val="000000"/>
          <w:sz w:val="24"/>
          <w:szCs w:val="24"/>
        </w:rPr>
        <w:t>[</w:t>
      </w:r>
      <w:r w:rsidR="00227160">
        <w:rPr>
          <w:rFonts w:ascii="Times New Roman" w:hAnsi="Times New Roman"/>
          <w:color w:val="000000"/>
          <w:sz w:val="24"/>
          <w:szCs w:val="24"/>
        </w:rPr>
        <w:t>3</w:t>
      </w:r>
      <w:r w:rsidR="00227160" w:rsidRPr="00CF5742">
        <w:rPr>
          <w:rFonts w:ascii="Times New Roman" w:hAnsi="Times New Roman"/>
          <w:color w:val="000000"/>
          <w:sz w:val="24"/>
          <w:szCs w:val="24"/>
        </w:rPr>
        <w:t>]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Саме на таку логіку спираються при синтезі системи «двигун внутрішнього згоряння — </w:t>
      </w:r>
      <w:r w:rsidR="00281362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помпа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281362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проти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пожежного автомобіля (відцентрові </w:t>
      </w:r>
      <w:r w:rsidR="00281362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помпи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найрозповсюдженіші</w:t>
      </w:r>
      <w:proofErr w:type="spellEnd"/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пожежній техніці, оскільки мають відносно невелику масу та габарити, забезпечують рівномірну подачу рідини, здатні до </w:t>
      </w:r>
      <w:proofErr w:type="spellStart"/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самоналаштовування</w:t>
      </w:r>
      <w:proofErr w:type="spellEnd"/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напору при зміні подачі рідини тощо). Але такого штибу рекомендації є здебільшого декларативними, хоча й посилаються на досвід.</w:t>
      </w:r>
    </w:p>
    <w:p w:rsidR="00E21C5E" w:rsidRPr="00510109" w:rsidRDefault="00E21C5E" w:rsidP="000C19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ширшому </w:t>
      </w:r>
      <w:r w:rsidR="00EE2331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аспекті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суміщення двигуна й помпи – це ще й суміщення двигуна з мережею (</w:t>
      </w:r>
      <w:r w:rsidR="00D437D5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проти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пожежною рукавною системою), бо помпа, так чи інакше, добирається відповідно до параметрів, характеристик та загалом властивостей мережі. </w:t>
      </w:r>
    </w:p>
    <w:p w:rsidR="006F1536" w:rsidRPr="00510109" w:rsidRDefault="006F1536" w:rsidP="000C19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Традиційна методологія суміщення в єдину систему теплового двигуна та пожежно</w:t>
      </w:r>
      <w:r w:rsidR="004C188F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C188F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помпи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</w:t>
      </w:r>
      <w:proofErr w:type="spellStart"/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сутнісно</w:t>
      </w:r>
      <w:proofErr w:type="spellEnd"/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примітивною і такою, що ніяк не вмотивовує домагання якнайвищої енергетичної ефективності. Натомість, стрімкий розвиток техніки (зокрема, й автомобільної) вже сьогодні дає змогу віднайти технічні засоби суттєвого підвищення енергетичної (і не тільки) ефективності як процесу пересування </w:t>
      </w:r>
      <w:r w:rsidR="00087A36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проти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пожежної машини, так і процесу надсилання вогнегасної рідини в зону пожежі. Але успіх від втілення цих засобів цілковито зумовлений тим, наскільки адекватно сприймають пріоритети режимів роботи двигуна й </w:t>
      </w:r>
      <w:r w:rsidR="0022482C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помпи.</w:t>
      </w:r>
    </w:p>
    <w:p w:rsidR="0022482C" w:rsidRPr="00510109" w:rsidRDefault="0022482C" w:rsidP="005101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Впровадження редуктора в систему «двигун — </w:t>
      </w:r>
      <w:r w:rsidR="004C188F"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помпа</w:t>
      </w:r>
      <w:r w:rsidRPr="005101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— вагомий засіб раціоналізації суміщення режимів роботи двигуна й помпи, але особливо ефективним воно стає у поєднанні з одночасним регулюванням робочого об’єму двигуна (шляхом відмикання окремих циліндрів, пропускання робочих циклів в циліндрах). </w:t>
      </w:r>
    </w:p>
    <w:p w:rsidR="00B85AED" w:rsidRPr="00510109" w:rsidRDefault="00B85AED" w:rsidP="000C19A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829" w:rsidRPr="00AF057F" w:rsidRDefault="00E21AD3" w:rsidP="000C19A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7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ЛІТЕРАТУРА</w:t>
      </w:r>
    </w:p>
    <w:p w:rsidR="002504A7" w:rsidRPr="00AF057F" w:rsidRDefault="002504A7" w:rsidP="000C19A4">
      <w:pPr>
        <w:pStyle w:val="a6"/>
        <w:numPr>
          <w:ilvl w:val="0"/>
          <w:numId w:val="1"/>
        </w:numPr>
        <w:spacing w:after="0" w:line="360" w:lineRule="auto"/>
        <w:ind w:left="68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F057F">
        <w:rPr>
          <w:rFonts w:ascii="Times New Roman" w:eastAsia="Calibri" w:hAnsi="Times New Roman" w:cs="Times New Roman"/>
          <w:sz w:val="24"/>
          <w:szCs w:val="24"/>
        </w:rPr>
        <w:t>Гащук</w:t>
      </w:r>
      <w:proofErr w:type="spellEnd"/>
      <w:r w:rsidRPr="00AF057F">
        <w:rPr>
          <w:rFonts w:ascii="Times New Roman" w:eastAsia="Calibri" w:hAnsi="Times New Roman" w:cs="Times New Roman"/>
          <w:sz w:val="24"/>
          <w:szCs w:val="24"/>
        </w:rPr>
        <w:t xml:space="preserve"> П. Н. Энергетическая эффективность автомобиля.— Львов: Свит, 1992.</w:t>
      </w:r>
      <w:r w:rsidR="000C19A4" w:rsidRPr="00AF057F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C67E97" w:rsidRPr="00AF057F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AF057F">
        <w:rPr>
          <w:rFonts w:ascii="Times New Roman" w:eastAsia="Calibri" w:hAnsi="Times New Roman" w:cs="Times New Roman"/>
          <w:sz w:val="24"/>
          <w:szCs w:val="24"/>
        </w:rPr>
        <w:t xml:space="preserve"> 208 с.</w:t>
      </w:r>
    </w:p>
    <w:p w:rsidR="00C67E97" w:rsidRPr="00227160" w:rsidRDefault="00C67E97" w:rsidP="000C19A4">
      <w:pPr>
        <w:pStyle w:val="a6"/>
        <w:numPr>
          <w:ilvl w:val="0"/>
          <w:numId w:val="1"/>
        </w:numPr>
        <w:spacing w:after="0" w:line="360" w:lineRule="auto"/>
        <w:ind w:left="68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057F">
        <w:rPr>
          <w:rFonts w:ascii="Times New Roman" w:eastAsia="Calibri" w:hAnsi="Times New Roman" w:cs="Times New Roman"/>
          <w:sz w:val="24"/>
          <w:szCs w:val="24"/>
        </w:rPr>
        <w:lastRenderedPageBreak/>
        <w:t>Пожарная техника</w:t>
      </w:r>
      <w:proofErr w:type="gramStart"/>
      <w:r w:rsidRPr="00AF057F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AF057F">
        <w:rPr>
          <w:rFonts w:ascii="Times New Roman" w:eastAsia="Calibri" w:hAnsi="Times New Roman" w:cs="Times New Roman"/>
          <w:sz w:val="24"/>
          <w:szCs w:val="24"/>
        </w:rPr>
        <w:t xml:space="preserve">од ред. М. Д. </w:t>
      </w:r>
      <w:proofErr w:type="spellStart"/>
      <w:r w:rsidRPr="00AF057F">
        <w:rPr>
          <w:rFonts w:ascii="Times New Roman" w:eastAsia="Calibri" w:hAnsi="Times New Roman" w:cs="Times New Roman"/>
          <w:sz w:val="24"/>
          <w:szCs w:val="24"/>
        </w:rPr>
        <w:t>Безбородько</w:t>
      </w:r>
      <w:proofErr w:type="spellEnd"/>
      <w:r w:rsidRPr="00AF057F">
        <w:rPr>
          <w:rFonts w:ascii="Times New Roman" w:eastAsia="Calibri" w:hAnsi="Times New Roman" w:cs="Times New Roman"/>
          <w:sz w:val="24"/>
          <w:szCs w:val="24"/>
        </w:rPr>
        <w:t xml:space="preserve">. — М.: Академия ГПС МЧС России, 2004. </w:t>
      </w:r>
      <w:r w:rsidRPr="00AF057F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AF057F">
        <w:rPr>
          <w:rFonts w:ascii="Times New Roman" w:eastAsia="Calibri" w:hAnsi="Times New Roman" w:cs="Times New Roman"/>
          <w:sz w:val="24"/>
          <w:szCs w:val="24"/>
        </w:rPr>
        <w:t xml:space="preserve"> 550 с.</w:t>
      </w:r>
    </w:p>
    <w:p w:rsidR="00227160" w:rsidRPr="00227160" w:rsidRDefault="00227160" w:rsidP="00227160">
      <w:pPr>
        <w:pStyle w:val="a6"/>
        <w:numPr>
          <w:ilvl w:val="0"/>
          <w:numId w:val="1"/>
        </w:numPr>
        <w:spacing w:after="0" w:line="360" w:lineRule="auto"/>
        <w:ind w:left="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60">
        <w:rPr>
          <w:rFonts w:ascii="Times New Roman" w:eastAsia="Calibri" w:hAnsi="Times New Roman" w:cs="Times New Roman"/>
          <w:sz w:val="24"/>
          <w:szCs w:val="24"/>
        </w:rPr>
        <w:t>Машины и аппараты пожаротушения</w:t>
      </w:r>
      <w:proofErr w:type="gramStart"/>
      <w:r w:rsidRPr="0022716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27160">
        <w:rPr>
          <w:rFonts w:ascii="Times New Roman" w:eastAsia="Calibri" w:hAnsi="Times New Roman" w:cs="Times New Roman"/>
          <w:sz w:val="24"/>
          <w:szCs w:val="24"/>
        </w:rPr>
        <w:t xml:space="preserve"> Учебник / [Алексеев П.П., </w:t>
      </w:r>
      <w:proofErr w:type="spellStart"/>
      <w:r w:rsidRPr="00227160">
        <w:rPr>
          <w:rFonts w:ascii="Times New Roman" w:eastAsia="Calibri" w:hAnsi="Times New Roman" w:cs="Times New Roman"/>
          <w:sz w:val="24"/>
          <w:szCs w:val="24"/>
        </w:rPr>
        <w:t>Бубырь</w:t>
      </w:r>
      <w:proofErr w:type="spellEnd"/>
      <w:r w:rsidRPr="00227160">
        <w:rPr>
          <w:rFonts w:ascii="Times New Roman" w:eastAsia="Calibri" w:hAnsi="Times New Roman" w:cs="Times New Roman"/>
          <w:sz w:val="24"/>
          <w:szCs w:val="24"/>
        </w:rPr>
        <w:t xml:space="preserve"> Н.Ф., </w:t>
      </w:r>
      <w:proofErr w:type="spellStart"/>
      <w:r w:rsidRPr="00227160">
        <w:rPr>
          <w:rFonts w:ascii="Times New Roman" w:eastAsia="Calibri" w:hAnsi="Times New Roman" w:cs="Times New Roman"/>
          <w:sz w:val="24"/>
          <w:szCs w:val="24"/>
        </w:rPr>
        <w:t>К</w:t>
      </w:r>
      <w:r w:rsidRPr="00227160">
        <w:rPr>
          <w:rFonts w:ascii="Times New Roman" w:eastAsia="Calibri" w:hAnsi="Times New Roman" w:cs="Times New Roman"/>
          <w:sz w:val="24"/>
          <w:szCs w:val="24"/>
        </w:rPr>
        <w:t>а</w:t>
      </w:r>
      <w:r w:rsidRPr="00227160">
        <w:rPr>
          <w:rFonts w:ascii="Times New Roman" w:eastAsia="Calibri" w:hAnsi="Times New Roman" w:cs="Times New Roman"/>
          <w:sz w:val="24"/>
          <w:szCs w:val="24"/>
        </w:rPr>
        <w:t>щеев</w:t>
      </w:r>
      <w:proofErr w:type="spellEnd"/>
      <w:r w:rsidRPr="00227160">
        <w:rPr>
          <w:rFonts w:ascii="Times New Roman" w:eastAsia="Calibri" w:hAnsi="Times New Roman" w:cs="Times New Roman"/>
          <w:sz w:val="24"/>
          <w:szCs w:val="24"/>
        </w:rPr>
        <w:t xml:space="preserve"> Н.Б. и др.]. — М.: ВШ МВД СССР, 1972. – 528 с. </w:t>
      </w:r>
    </w:p>
    <w:sectPr w:rsidR="00227160" w:rsidRPr="00227160" w:rsidSect="007E1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0F59"/>
    <w:multiLevelType w:val="hybridMultilevel"/>
    <w:tmpl w:val="D5C480BE"/>
    <w:lvl w:ilvl="0" w:tplc="697E7EC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1A64"/>
    <w:rsid w:val="0000732D"/>
    <w:rsid w:val="00013056"/>
    <w:rsid w:val="00037EDA"/>
    <w:rsid w:val="00041767"/>
    <w:rsid w:val="00087A36"/>
    <w:rsid w:val="000C19A4"/>
    <w:rsid w:val="00133E48"/>
    <w:rsid w:val="0014442B"/>
    <w:rsid w:val="001A5FCE"/>
    <w:rsid w:val="001D35AA"/>
    <w:rsid w:val="0021357A"/>
    <w:rsid w:val="0022482C"/>
    <w:rsid w:val="00227160"/>
    <w:rsid w:val="002504A7"/>
    <w:rsid w:val="00281362"/>
    <w:rsid w:val="00287C32"/>
    <w:rsid w:val="003274C8"/>
    <w:rsid w:val="00354758"/>
    <w:rsid w:val="003820A8"/>
    <w:rsid w:val="003A60DE"/>
    <w:rsid w:val="00461C65"/>
    <w:rsid w:val="00485532"/>
    <w:rsid w:val="004C188F"/>
    <w:rsid w:val="004C3189"/>
    <w:rsid w:val="004D30CA"/>
    <w:rsid w:val="004E2857"/>
    <w:rsid w:val="00502EAD"/>
    <w:rsid w:val="00510109"/>
    <w:rsid w:val="00674AAF"/>
    <w:rsid w:val="006A6E29"/>
    <w:rsid w:val="006F1536"/>
    <w:rsid w:val="00705CE8"/>
    <w:rsid w:val="007228F7"/>
    <w:rsid w:val="0072525E"/>
    <w:rsid w:val="00752CCD"/>
    <w:rsid w:val="007B6108"/>
    <w:rsid w:val="007E1A64"/>
    <w:rsid w:val="008123D3"/>
    <w:rsid w:val="0081720F"/>
    <w:rsid w:val="00860D80"/>
    <w:rsid w:val="008C3F8E"/>
    <w:rsid w:val="008E137A"/>
    <w:rsid w:val="00930788"/>
    <w:rsid w:val="0098117C"/>
    <w:rsid w:val="009B0908"/>
    <w:rsid w:val="009F2829"/>
    <w:rsid w:val="00A05D86"/>
    <w:rsid w:val="00A62505"/>
    <w:rsid w:val="00AB74B0"/>
    <w:rsid w:val="00AF057F"/>
    <w:rsid w:val="00B219D7"/>
    <w:rsid w:val="00B85AED"/>
    <w:rsid w:val="00B96028"/>
    <w:rsid w:val="00C67E97"/>
    <w:rsid w:val="00C72214"/>
    <w:rsid w:val="00CE7D9E"/>
    <w:rsid w:val="00D36B70"/>
    <w:rsid w:val="00D437D5"/>
    <w:rsid w:val="00DB3DE2"/>
    <w:rsid w:val="00E21AD3"/>
    <w:rsid w:val="00E21C5E"/>
    <w:rsid w:val="00E6579A"/>
    <w:rsid w:val="00EE2331"/>
    <w:rsid w:val="00F32416"/>
    <w:rsid w:val="00F71753"/>
    <w:rsid w:val="00FA793D"/>
    <w:rsid w:val="00FC6AE0"/>
    <w:rsid w:val="00FF1A83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29"/>
    <w:rPr>
      <w:rFonts w:ascii="Tahoma" w:hAnsi="Tahoma" w:cs="Tahoma"/>
      <w:sz w:val="16"/>
      <w:szCs w:val="16"/>
    </w:rPr>
  </w:style>
  <w:style w:type="paragraph" w:customStyle="1" w:styleId="top">
    <w:name w:val="top"/>
    <w:basedOn w:val="a"/>
    <w:rsid w:val="00485532"/>
    <w:pPr>
      <w:spacing w:before="402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654A-D701-468C-8973-C2483C6B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2015-07-31T13:22:00Z</cp:lastPrinted>
  <dcterms:created xsi:type="dcterms:W3CDTF">2015-07-30T09:09:00Z</dcterms:created>
  <dcterms:modified xsi:type="dcterms:W3CDTF">2016-09-20T07:19:00Z</dcterms:modified>
</cp:coreProperties>
</file>