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9" w:rsidRDefault="00191329" w:rsidP="00191329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0F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УДК 514.18</w:t>
      </w:r>
    </w:p>
    <w:p w:rsidR="001C7AF4" w:rsidRDefault="001C7AF4" w:rsidP="00191329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C7AF4" w:rsidRPr="001B3EBE" w:rsidRDefault="001C7AF4" w:rsidP="001C7AF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ГРАФІЧНІ ТЕХНОЛОГІЇ У СФЕРІ ЦИВІЛЬНОГО ЗАХИСТУ </w:t>
      </w:r>
    </w:p>
    <w:p w:rsidR="00500234" w:rsidRDefault="005F6FEB" w:rsidP="00ED0B9F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00234" w:rsidRPr="005F753F" w:rsidRDefault="005F753F">
      <w:pPr>
        <w:spacing w:before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Гончаренко М.О.,</w:t>
      </w:r>
    </w:p>
    <w:p w:rsidR="00500234" w:rsidRDefault="005F6FEB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Мартин Є. В., д.т.н., професор,</w:t>
      </w:r>
    </w:p>
    <w:p w:rsidR="00596226" w:rsidRPr="001C7AF4" w:rsidRDefault="005F6FEB" w:rsidP="00776238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33D9">
        <w:rPr>
          <w:rFonts w:ascii="Times New Roman" w:eastAsia="Times New Roman" w:hAnsi="Times New Roman" w:cs="Times New Roman"/>
          <w:b/>
          <w:sz w:val="24"/>
          <w:szCs w:val="24"/>
        </w:rPr>
        <w:t>Львівський державний університет безпеки життєдіяльності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C7AF4" w:rsidRPr="00776238" w:rsidRDefault="00596226" w:rsidP="00776238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2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 </w:t>
      </w:r>
      <w:r w:rsidRP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сфері цивільного захисту використовуються засоби створення і оброблення документації, зокрема,</w:t>
      </w:r>
      <w:r w:rsidR="001C0F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графічної</w:t>
      </w:r>
      <w:r w:rsidR="00776238" w:rsidRP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залученням інженерної </w:t>
      </w:r>
      <w:r w:rsidR="001C0F88" w:rsidRP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комп’ютерної</w:t>
      </w:r>
      <w:r w:rsidR="00776238" w:rsidRP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ділової графіки.</w:t>
      </w:r>
    </w:p>
    <w:p w:rsidR="001C7AF4" w:rsidRPr="001C7AF4" w:rsidRDefault="00776238" w:rsidP="001C7AF4">
      <w:pPr>
        <w:pStyle w:val="a9"/>
        <w:shd w:val="clear" w:color="auto" w:fill="FFFFFF"/>
        <w:spacing w:before="150" w:beforeAutospacing="0" w:after="150" w:afterAutospacing="0" w:line="276" w:lineRule="auto"/>
        <w:ind w:firstLine="708"/>
        <w:jc w:val="both"/>
        <w:textAlignment w:val="baseline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Наприклад, в </w:t>
      </w:r>
      <w:r w:rsidR="001C7AF4" w:rsidRPr="001C7AF4">
        <w:rPr>
          <w:color w:val="000000" w:themeColor="text1"/>
          <w:szCs w:val="28"/>
          <w:lang w:val="uk-UA"/>
        </w:rPr>
        <w:t xml:space="preserve"> інженерній графіці застосовуються графічні засоби для </w:t>
      </w:r>
      <w:r w:rsidR="00596226">
        <w:rPr>
          <w:color w:val="000000" w:themeColor="text1"/>
          <w:szCs w:val="28"/>
          <w:lang w:val="uk-UA"/>
        </w:rPr>
        <w:t xml:space="preserve">побудови </w:t>
      </w:r>
      <w:r w:rsidR="001C7AF4" w:rsidRPr="001C7AF4">
        <w:rPr>
          <w:color w:val="000000" w:themeColor="text1"/>
          <w:szCs w:val="28"/>
          <w:lang w:val="uk-UA"/>
        </w:rPr>
        <w:t>генерального плану</w:t>
      </w:r>
      <w:r w:rsidR="00596226">
        <w:rPr>
          <w:color w:val="000000" w:themeColor="text1"/>
          <w:szCs w:val="28"/>
          <w:lang w:val="uk-UA"/>
        </w:rPr>
        <w:t xml:space="preserve"> будівлі чи споруди</w:t>
      </w:r>
      <w:r w:rsidR="001C7AF4" w:rsidRPr="001C7AF4">
        <w:rPr>
          <w:color w:val="000000" w:themeColor="text1"/>
          <w:szCs w:val="28"/>
          <w:lang w:val="uk-UA"/>
        </w:rPr>
        <w:t>. Розглянувши  план, можна встановити, де сталася пожежа, як швидко її можна ліквідувати. Генеральний план, а саме його графічні засоби</w:t>
      </w:r>
      <w:r w:rsidR="00596226">
        <w:rPr>
          <w:color w:val="000000" w:themeColor="text1"/>
          <w:szCs w:val="28"/>
          <w:lang w:val="uk-UA"/>
        </w:rPr>
        <w:t>,</w:t>
      </w:r>
      <w:r w:rsidR="001C7AF4" w:rsidRPr="001C7AF4">
        <w:rPr>
          <w:color w:val="000000" w:themeColor="text1"/>
          <w:szCs w:val="28"/>
          <w:lang w:val="uk-UA"/>
        </w:rPr>
        <w:t xml:space="preserve"> </w:t>
      </w:r>
      <w:r w:rsidR="00596226">
        <w:rPr>
          <w:color w:val="000000" w:themeColor="text1"/>
          <w:szCs w:val="28"/>
          <w:lang w:val="uk-UA"/>
        </w:rPr>
        <w:t>на</w:t>
      </w:r>
      <w:r w:rsidR="001C7AF4" w:rsidRPr="001C7AF4">
        <w:rPr>
          <w:color w:val="000000" w:themeColor="text1"/>
          <w:szCs w:val="28"/>
          <w:lang w:val="uk-UA"/>
        </w:rPr>
        <w:t xml:space="preserve">дають </w:t>
      </w:r>
      <w:r w:rsidR="00596226">
        <w:rPr>
          <w:color w:val="000000" w:themeColor="text1"/>
          <w:szCs w:val="28"/>
          <w:lang w:val="uk-UA"/>
        </w:rPr>
        <w:t xml:space="preserve">можливість </w:t>
      </w:r>
      <w:hyperlink r:id="rId6" w:history="1">
        <w:r w:rsidR="00596226" w:rsidRPr="00596226">
          <w:rPr>
            <w:rStyle w:val="a8"/>
            <w:bCs/>
            <w:iCs/>
            <w:color w:val="000000" w:themeColor="text1"/>
            <w:szCs w:val="28"/>
            <w:u w:val="none"/>
            <w:shd w:val="clear" w:color="auto" w:fill="FFFFFF"/>
            <w:lang w:val="uk-UA"/>
          </w:rPr>
          <w:t>встановити</w:t>
        </w:r>
      </w:hyperlink>
      <w:r w:rsidR="00596226" w:rsidRPr="00596226">
        <w:rPr>
          <w:rStyle w:val="a8"/>
          <w:bCs/>
          <w:iCs/>
          <w:color w:val="000000" w:themeColor="text1"/>
          <w:szCs w:val="28"/>
          <w:u w:val="none"/>
          <w:shd w:val="clear" w:color="auto" w:fill="FFFFFF"/>
          <w:lang w:val="uk-UA"/>
        </w:rPr>
        <w:t xml:space="preserve"> причини виникнення</w:t>
      </w:r>
      <w:r w:rsidR="00596226">
        <w:rPr>
          <w:rStyle w:val="a8"/>
          <w:bCs/>
          <w:iCs/>
          <w:color w:val="000000" w:themeColor="text1"/>
          <w:szCs w:val="28"/>
          <w:u w:val="none"/>
          <w:shd w:val="clear" w:color="auto" w:fill="FFFFFF"/>
          <w:lang w:val="uk-UA"/>
        </w:rPr>
        <w:t xml:space="preserve"> </w:t>
      </w:r>
      <w:r w:rsidR="001C7AF4" w:rsidRPr="001C7AF4">
        <w:rPr>
          <w:color w:val="000000" w:themeColor="text1"/>
          <w:szCs w:val="28"/>
          <w:lang w:val="uk-UA"/>
        </w:rPr>
        <w:t xml:space="preserve"> пожежі. </w:t>
      </w:r>
      <w:r w:rsidR="000B2BEF">
        <w:rPr>
          <w:color w:val="000000" w:themeColor="text1"/>
          <w:szCs w:val="28"/>
          <w:lang w:val="uk-UA"/>
        </w:rPr>
        <w:t>І</w:t>
      </w:r>
      <w:r w:rsidR="001C7AF4" w:rsidRPr="001C7AF4">
        <w:rPr>
          <w:color w:val="000000" w:themeColor="text1"/>
          <w:szCs w:val="28"/>
          <w:lang w:val="uk-UA"/>
        </w:rPr>
        <w:t>нженерна</w:t>
      </w:r>
      <w:r w:rsidR="00596226">
        <w:rPr>
          <w:color w:val="000000" w:themeColor="text1"/>
          <w:szCs w:val="28"/>
          <w:lang w:val="uk-UA"/>
        </w:rPr>
        <w:t xml:space="preserve"> графіка</w:t>
      </w:r>
      <w:r w:rsidR="001C7AF4" w:rsidRPr="001C7AF4">
        <w:rPr>
          <w:color w:val="000000" w:themeColor="text1"/>
          <w:szCs w:val="28"/>
          <w:lang w:val="uk-UA"/>
        </w:rPr>
        <w:t xml:space="preserve"> </w:t>
      </w:r>
      <w:r w:rsidR="000B2BEF">
        <w:rPr>
          <w:color w:val="000000" w:themeColor="text1"/>
          <w:szCs w:val="28"/>
          <w:lang w:val="uk-UA"/>
        </w:rPr>
        <w:t>вимступа</w:t>
      </w:r>
      <w:r w:rsidR="00596226">
        <w:rPr>
          <w:color w:val="000000" w:themeColor="text1"/>
          <w:szCs w:val="28"/>
          <w:lang w:val="uk-UA"/>
        </w:rPr>
        <w:t>є основним інструментом</w:t>
      </w:r>
      <w:r w:rsidR="001C7AF4" w:rsidRPr="001C7AF4">
        <w:rPr>
          <w:color w:val="000000" w:themeColor="text1"/>
          <w:szCs w:val="28"/>
          <w:lang w:val="uk-UA"/>
        </w:rPr>
        <w:t xml:space="preserve"> у сфер</w:t>
      </w:r>
      <w:r w:rsidR="00596226">
        <w:rPr>
          <w:color w:val="000000" w:themeColor="text1"/>
          <w:szCs w:val="28"/>
          <w:lang w:val="uk-UA"/>
        </w:rPr>
        <w:t>і</w:t>
      </w:r>
      <w:r w:rsidR="001C7AF4" w:rsidRPr="001C7AF4">
        <w:rPr>
          <w:color w:val="000000" w:themeColor="text1"/>
          <w:szCs w:val="28"/>
          <w:lang w:val="uk-UA"/>
        </w:rPr>
        <w:t xml:space="preserve"> цивільного захисту</w:t>
      </w:r>
      <w:bookmarkStart w:id="0" w:name="q2"/>
      <w:bookmarkEnd w:id="0"/>
      <w:r w:rsidR="001C7AF4" w:rsidRPr="001C7AF4">
        <w:rPr>
          <w:color w:val="000000" w:themeColor="text1"/>
          <w:szCs w:val="28"/>
          <w:lang w:val="uk-UA"/>
        </w:rPr>
        <w:t xml:space="preserve"> </w:t>
      </w:r>
      <w:r w:rsidR="00596226">
        <w:rPr>
          <w:color w:val="000000" w:themeColor="text1"/>
          <w:szCs w:val="28"/>
          <w:lang w:val="uk-UA"/>
        </w:rPr>
        <w:t>в частині</w:t>
      </w:r>
      <w:r w:rsidR="001C7AF4" w:rsidRPr="001C7AF4">
        <w:rPr>
          <w:color w:val="000000" w:themeColor="text1"/>
          <w:szCs w:val="28"/>
          <w:lang w:val="uk-UA"/>
        </w:rPr>
        <w:t xml:space="preserve"> створення генеральних планів та план-графіку</w:t>
      </w:r>
      <w:r w:rsidR="00596226">
        <w:rPr>
          <w:color w:val="000000" w:themeColor="text1"/>
          <w:szCs w:val="28"/>
          <w:lang w:val="uk-UA"/>
        </w:rPr>
        <w:t xml:space="preserve"> щодо </w:t>
      </w:r>
      <w:r w:rsidR="001C7AF4" w:rsidRPr="001C7AF4">
        <w:rPr>
          <w:color w:val="000000" w:themeColor="text1"/>
          <w:szCs w:val="28"/>
          <w:lang w:val="uk-UA"/>
        </w:rPr>
        <w:t xml:space="preserve"> спеціалізації інспекції.</w:t>
      </w:r>
      <w:r w:rsidR="001C7AF4">
        <w:rPr>
          <w:color w:val="000000" w:themeColor="text1"/>
          <w:szCs w:val="28"/>
          <w:lang w:val="uk-UA"/>
        </w:rPr>
        <w:t xml:space="preserve"> </w:t>
      </w:r>
      <w:r w:rsidR="001C7AF4" w:rsidRPr="001C7AF4">
        <w:rPr>
          <w:color w:val="000000" w:themeColor="text1"/>
          <w:szCs w:val="28"/>
          <w:lang w:val="uk-UA"/>
        </w:rPr>
        <w:t>Дані норми  призначені  для  застосування  органами державної виконавчої  влади,   місцевого   самоврядування,   юридичними   та фізичними  особами  -  учасниками інвестиційного процесу незалежно від фо</w:t>
      </w:r>
      <w:r w:rsidR="00596226">
        <w:rPr>
          <w:color w:val="000000" w:themeColor="text1"/>
          <w:szCs w:val="28"/>
          <w:lang w:val="uk-UA"/>
        </w:rPr>
        <w:t xml:space="preserve">рм власності та господарювання </w:t>
      </w:r>
      <w:r w:rsidR="007133D9" w:rsidRPr="007133D9">
        <w:rPr>
          <w:color w:val="000000" w:themeColor="text1"/>
          <w:szCs w:val="28"/>
          <w:lang w:val="uk-UA"/>
        </w:rPr>
        <w:t>[1]</w:t>
      </w:r>
      <w:r w:rsidR="00596226">
        <w:rPr>
          <w:color w:val="000000" w:themeColor="text1"/>
          <w:szCs w:val="28"/>
          <w:lang w:val="uk-UA"/>
        </w:rPr>
        <w:t xml:space="preserve">. </w:t>
      </w:r>
      <w:r w:rsidR="001C7AF4" w:rsidRPr="001C7AF4">
        <w:rPr>
          <w:color w:val="000000" w:themeColor="text1"/>
          <w:szCs w:val="28"/>
          <w:lang w:val="uk-UA"/>
        </w:rPr>
        <w:t>Генеральний п</w:t>
      </w:r>
      <w:r w:rsidR="00596226">
        <w:rPr>
          <w:color w:val="000000" w:themeColor="text1"/>
          <w:szCs w:val="28"/>
          <w:lang w:val="uk-UA"/>
        </w:rPr>
        <w:t>лан повинен відповідати вимогам</w:t>
      </w:r>
      <w:r w:rsidR="001C7AF4" w:rsidRPr="001C7AF4">
        <w:rPr>
          <w:color w:val="000000" w:themeColor="text1"/>
          <w:szCs w:val="28"/>
          <w:lang w:val="uk-UA"/>
        </w:rPr>
        <w:t xml:space="preserve"> законів України, указів Президента  України  та  постанов  Кабінету   Міністрів   України, санітарного  законодавства,  державних нормативних документів,  що регламентують   будівельні,    екологічні    та    </w:t>
      </w:r>
      <w:r w:rsidR="00596226">
        <w:rPr>
          <w:color w:val="000000" w:themeColor="text1"/>
          <w:szCs w:val="28"/>
          <w:lang w:val="uk-UA"/>
        </w:rPr>
        <w:t>інші    аспекти  містобудування, зокрема,</w:t>
      </w:r>
    </w:p>
    <w:p w:rsidR="001C7AF4" w:rsidRPr="001C7AF4" w:rsidRDefault="001C7AF4" w:rsidP="001C7AF4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правил,  норм  та   стандартів   безпеки   та   організації дорожнього руху;</w:t>
      </w:r>
    </w:p>
    <w:p w:rsidR="001C7AF4" w:rsidRPr="001C7AF4" w:rsidRDefault="001C7AF4" w:rsidP="001C7AF4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уповноважених  на  це  законодавством   органів   державної виконавчої   влади   щодо   врахування   державних  інтересів  при плануванні територій;</w:t>
      </w:r>
    </w:p>
    <w:p w:rsidR="001C7AF4" w:rsidRPr="001C7AF4" w:rsidRDefault="001C7AF4" w:rsidP="001C7AF4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щодо   узгодження   приватних,   громадських  та  державних інтересів;</w:t>
      </w:r>
    </w:p>
    <w:p w:rsidR="001C7AF4" w:rsidRPr="001C7AF4" w:rsidRDefault="001C7AF4" w:rsidP="001C7AF4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щодо забезпечення сталого розвитку населеного пункту;</w:t>
      </w:r>
    </w:p>
    <w:p w:rsidR="001C7AF4" w:rsidRPr="001C7AF4" w:rsidRDefault="001C7AF4" w:rsidP="001C7AF4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щодо  охорони  навколишнього  середовища   та   ефективного ресурсокористування;</w:t>
      </w:r>
    </w:p>
    <w:p w:rsidR="00596226" w:rsidRPr="00596226" w:rsidRDefault="007133D9" w:rsidP="001C7AF4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619760</wp:posOffset>
            </wp:positionV>
            <wp:extent cx="2735580" cy="1668780"/>
            <wp:effectExtent l="0" t="0" r="7620" b="7620"/>
            <wp:wrapTight wrapText="bothSides">
              <wp:wrapPolygon edited="0">
                <wp:start x="0" y="0"/>
                <wp:lineTo x="0" y="21452"/>
                <wp:lineTo x="21510" y="21452"/>
                <wp:lineTo x="2151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4" t="43477" r="47561" b="28514"/>
                    <a:stretch/>
                  </pic:blipFill>
                  <pic:spPr bwMode="auto">
                    <a:xfrm>
                      <a:off x="0" y="0"/>
                      <a:ext cx="2735580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AF4"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щодо збережен</w:t>
      </w:r>
      <w:r w:rsidR="000B2BEF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ня історико-культурної спадщини</w:t>
      </w:r>
      <w:r w:rsidR="001C7AF4"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. </w:t>
      </w:r>
    </w:p>
    <w:p w:rsidR="001C7AF4" w:rsidRPr="001C7AF4" w:rsidRDefault="00596226" w:rsidP="00596226">
      <w:pPr>
        <w:pStyle w:val="a7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На  рис.1  приведений</w:t>
      </w:r>
      <w:r w:rsidR="001C7AF4"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 генеральний план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,</w:t>
      </w:r>
      <w:r w:rsidR="001C7AF4"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 на якому сталася пожежа, а на  рис.2  показан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ий</w:t>
      </w:r>
      <w:r w:rsidR="001C7AF4" w:rsidRPr="001C7AF4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 план виробництва, де запобігли виникненню НС.</w:t>
      </w:r>
    </w:p>
    <w:p w:rsidR="001C7AF4" w:rsidRPr="001C7AF4" w:rsidRDefault="007133D9" w:rsidP="001C7AF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>
        <w:rPr>
          <w:noProof/>
          <w:lang w:val="uk-UA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2540</wp:posOffset>
            </wp:positionV>
            <wp:extent cx="2598420" cy="1681480"/>
            <wp:effectExtent l="0" t="0" r="0" b="0"/>
            <wp:wrapTight wrapText="bothSides">
              <wp:wrapPolygon edited="0">
                <wp:start x="0" y="0"/>
                <wp:lineTo x="0" y="21290"/>
                <wp:lineTo x="21378" y="21290"/>
                <wp:lineTo x="21378" y="0"/>
                <wp:lineTo x="0" y="0"/>
              </wp:wrapPolygon>
            </wp:wrapTight>
            <wp:docPr id="19" name="Рисунок 19" descr="2. Генеральный план 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 Генеральный план с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AF4" w:rsidRPr="009A1541" w:rsidRDefault="001C7AF4" w:rsidP="001C7A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C7AF4" w:rsidRPr="009A1541" w:rsidRDefault="001C7AF4" w:rsidP="001C7A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C7AF4" w:rsidRPr="004C33EE" w:rsidRDefault="001C7AF4" w:rsidP="001C7AF4">
      <w:pPr>
        <w:jc w:val="both"/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  <w:lang w:val="ru-RU"/>
        </w:rPr>
      </w:pPr>
    </w:p>
    <w:p w:rsidR="00213AC9" w:rsidRPr="00213AC9" w:rsidRDefault="00213AC9" w:rsidP="00EF129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AF4" w:rsidRDefault="00ED0B9F" w:rsidP="00ED0B9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D00F6F5" wp14:editId="090EF0C2">
                <wp:simplePos x="0" y="0"/>
                <wp:positionH relativeFrom="column">
                  <wp:posOffset>3276600</wp:posOffset>
                </wp:positionH>
                <wp:positionV relativeFrom="paragraph">
                  <wp:posOffset>575310</wp:posOffset>
                </wp:positionV>
                <wp:extent cx="2484120" cy="396240"/>
                <wp:effectExtent l="0" t="0" r="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9F" w:rsidRPr="00966650" w:rsidRDefault="00ED0B9F" w:rsidP="00ED0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650">
                              <w:rPr>
                                <w:rFonts w:ascii="Times New Roman" w:hAnsi="Times New Roman" w:cs="Times New Roman"/>
                              </w:rPr>
                              <w:t xml:space="preserve">Рис.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966650">
                              <w:rPr>
                                <w:rFonts w:ascii="Times New Roman" w:hAnsi="Times New Roman" w:cs="Times New Roman"/>
                              </w:rPr>
                              <w:t xml:space="preserve"> Генеральний план виробництва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0F6F5" id="Надпись 4" o:spid="_x0000_s1027" type="#_x0000_t202" style="position:absolute;left:0;text-align:left;margin-left:258pt;margin-top:45.3pt;width:195.6pt;height:31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cZpgIAAJcFAAAOAAAAZHJzL2Uyb0RvYy54bWysVM1uEzEQviPxDpbvdJN0W9qomyq0KkKq&#10;2ooU9ex47cbC6zG2k91w484r8A4cOHDjFdI3Yuzd/FB6KeKya3u+mfF8/mZOTptKk4VwXoEpaH+v&#10;R4kwHEpl7gv64fbi1RElPjBTMg1GFHQpPD0dvXxxUtuhGMAMdCkcwSDGD2tb0FkIdphlns9Exfwe&#10;WGHQKMFVLODW3WelYzVGr3Q26PUOsxpcaR1w4T2enrdGOkrxpRQ8XEvpRSC6oHi3kL4ufafxm41O&#10;2PDeMTtTvLsG+4dbVEwZTLoJdc4CI3On/gpVKe7Agwx7HKoMpFRcpBqwmn7vUTWTGbMi1YLkeLuh&#10;yf+/sPxqceOIKguaU2JYhU+0+rb6vvqx+rX6+fDl4SvJI0e19UOETiyCQ/MGGnzr9bnHw1h6I10V&#10;/1gUQTuyvdwwLJpAOB4O8qO8P0ATR9v+8eEgT0+Qbb2t8+GtgIrERUEdvmAili0ufcCbIHQNick8&#10;aFVeKK3TJqpGnGlHFgzfW4d0R/T4A6UNqQt6uH/QS4ENRPc2sjYxjEi66dLFytsK0yostYgYbd4L&#10;ibylQp/IzTgXZpM/oSNKYqrnOHb47a2e49zWgR4pM5iwca6UAZeqT422paz8uKZMtngkfKfuuAzN&#10;tEmC2QhgCuUSdeGg7S5v+YXCx7tkPtwwh+2E740jIlzjR2pA8qFbUTID9/mp84hHlaOVkhrbs6D+&#10;05w5QYl+Z1D/x/0cpUNC2uQHr6Om3K5lumsx8+oMUBF9HEaWp2XEB71eSgfVHU6SccyKJmY45i5o&#10;WC/PQjs0cBJxMR4nEHawZeHSTCyPoSPLUZq3zR1zttNvQOVfwbqR2fCRjFts9DQwngeQKmk88tyy&#10;2vGP3Z+k302qOF529wm1naej3wAAAP//AwBQSwMEFAAGAAgAAAAhAOsvD4LiAAAACgEAAA8AAABk&#10;cnMvZG93bnJldi54bWxMj8tOwzAQRfdI/IM1SGwQtduoKQ1xKoR4SOxoeIidGw9JRDyOYjcJf8+w&#10;guVoju49N9/NrhMjDqH1pGG5UCCQKm9bqjW8lPeXVyBCNGRN5wk1fGOAXXF6kpvM+omecdzHWnAI&#10;hcxoaGLsMylD1aAzYeF7JP59+sGZyOdQSzuYicNdJ1dKpdKZlrihMT3eNlh97Y9Ow8dF/f4U5ofX&#10;KVkn/d3jWG7ebKn1+dl8cw0i4hz/YPjVZ3Uo2Ongj2SD6DSslylviRq2KgXBwFZtViAOTK4TBbLI&#10;5f8JxQ8AAAD//wMAUEsBAi0AFAAGAAgAAAAhALaDOJL+AAAA4QEAABMAAAAAAAAAAAAAAAAAAAAA&#10;AFtDb250ZW50X1R5cGVzXS54bWxQSwECLQAUAAYACAAAACEAOP0h/9YAAACUAQAACwAAAAAAAAAA&#10;AAAAAAAvAQAAX3JlbHMvLnJlbHNQSwECLQAUAAYACAAAACEA8MmnGaYCAACXBQAADgAAAAAAAAAA&#10;AAAAAAAuAgAAZHJzL2Uyb0RvYy54bWxQSwECLQAUAAYACAAAACEA6y8PguIAAAAKAQAADwAAAAAA&#10;AAAAAAAAAAAABQAAZHJzL2Rvd25yZXYueG1sUEsFBgAAAAAEAAQA8wAAAA8GAAAAAA==&#10;" fillcolor="white [3201]" stroked="f" strokeweight=".5pt">
                <v:textbox>
                  <w:txbxContent>
                    <w:p w:rsidR="00ED0B9F" w:rsidRPr="00966650" w:rsidRDefault="00ED0B9F" w:rsidP="00ED0B9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66650">
                        <w:rPr>
                          <w:rFonts w:ascii="Times New Roman" w:hAnsi="Times New Roman" w:cs="Times New Roman"/>
                        </w:rPr>
                        <w:t xml:space="preserve">Рис.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966650">
                        <w:rPr>
                          <w:rFonts w:ascii="Times New Roman" w:hAnsi="Times New Roman" w:cs="Times New Roman"/>
                        </w:rPr>
                        <w:t xml:space="preserve"> Генеральний план виробництва</w:t>
                      </w:r>
                    </w:p>
                  </w:txbxContent>
                </v:textbox>
              </v:shape>
            </w:pict>
          </mc:Fallback>
        </mc:AlternateContent>
      </w:r>
      <w:r w:rsidRPr="001C7AF4">
        <w:rPr>
          <w:rFonts w:ascii="Times New Roman" w:hAnsi="Times New Roman" w:cs="Times New Roman"/>
          <w:noProof/>
          <w:color w:val="000000" w:themeColor="text1"/>
          <w:sz w:val="24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3C264AF" wp14:editId="639D8023">
                <wp:simplePos x="0" y="0"/>
                <wp:positionH relativeFrom="column">
                  <wp:posOffset>289560</wp:posOffset>
                </wp:positionH>
                <wp:positionV relativeFrom="paragraph">
                  <wp:posOffset>577850</wp:posOffset>
                </wp:positionV>
                <wp:extent cx="2484120" cy="54102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AF4" w:rsidRPr="00966650" w:rsidRDefault="001C7AF4" w:rsidP="001C7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650">
                              <w:rPr>
                                <w:rFonts w:ascii="Times New Roman" w:hAnsi="Times New Roman" w:cs="Times New Roman"/>
                              </w:rPr>
                              <w:t>Рис. 1 Генеральний план виробництва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де сталася пожежа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C264AF" id="Надпись 18" o:spid="_x0000_s1028" type="#_x0000_t202" style="position:absolute;left:0;text-align:left;margin-left:22.8pt;margin-top:45.5pt;width:195.6pt;height:42.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YdpQIAAJkFAAAOAAAAZHJzL2Uyb0RvYy54bWysVM1uEzEQviPxDpbvdJOQlhJ1U4VURUhV&#10;W9Ginh2vnVh4PcZ2shtu3HkF3oEDB268QvpGjL27SSi9FHHZHXu+mfF883NyWpearITzCkxO+wc9&#10;SoThUCgzz+mH2/MXx5T4wEzBNBiR07Xw9HT8/NlJZUdiAAvQhXAEnRg/qmxOFyHYUZZ5vhAl8wdg&#10;hUGlBFeygEc3zwrHKvRe6mzQ6x1lFbjCOuDCe7w9a5R0nPxLKXi4ktKLQHRO8W0hfV36zuI3G5+w&#10;0dwxu1C8fQb7h1eUTBkMunV1xgIjS6f+clUq7sCDDAccygykVFykHDCbfu9BNjcLZkXKBcnxdkuT&#10;/39u+eXq2hFVYO2wUoaVWKPNt833zY/Nr83P+y/3XwkqkKXK+hGCbyzCQ/0GarTo7j1exuRr6cr4&#10;x7QI6pHv9ZZjUQfC8XIwPB72B6jiqDsc9nsoo/tsZ22dD28FlCQKOXVYw0QtW1340EA7SAzmQavi&#10;XGmdDrFvxFQ7smJYcR3SG9H5HyhtSJXTo5eHveTYQDRvPGsT3YjUOW24mHmTYZLCWouI0ea9kMhc&#10;SvSR2IxzYbbxEzqiJIZ6imGL373qKcZNHmiRIoMJW+NSGXAp+zRqO8qKjx1lssFjbfbyjmKoZ3Vq&#10;mUHXADMo1tgXDpr58pafKyzeBfPhmjkcKKw3LolwhR+pAcmHVqJkAe7zY/cRj32OWkoqHNCc+k9L&#10;5gQl+p3BCXjdHw7jRKfD8PBV7Cm3r5nta8yynAJ2RB/XkeVJjPigO1E6KO9wl0xiVFQxwzF2TkMn&#10;TkOzNnAXcTGZJBDOsGXhwtxYHl1HlmNr3tZ3zNm2fwN2/iV0o8xGD9q4wUZLA5NlAKlSj0eeG1Zb&#10;/nH+05S0uyoumP1zQu026vg3AAAA//8DAFBLAwQUAAYACAAAACEAD0dD8eAAAAAJAQAADwAAAGRy&#10;cy9kb3ducmV2LnhtbEyPQU+DQBCF7yb+h82YeDHt0tJSRZbGGLWJN0vVeNuyIxDZWcJuAf+940mP&#10;k/fy5vuy7WRbMWDvG0cKFvMIBFLpTEOVgkPxOLsG4YMmo1tHqOAbPWzz87NMp8aN9ILDPlSCR8in&#10;WkEdQpdK6csarfZz1yFx9ul6qwOffSVNr0cet61cRlEirW6IP9S6w/say6/9ySr4uKren/309DrG&#10;67h72A3F5s0USl1eTHe3IAJO4a8Mv/iMDjkzHd2JjBetgtU64aaCmwUrcb6KE1Y5cnGTLEHmmfxv&#10;kP8AAAD//wMAUEsBAi0AFAAGAAgAAAAhALaDOJL+AAAA4QEAABMAAAAAAAAAAAAAAAAAAAAAAFtD&#10;b250ZW50X1R5cGVzXS54bWxQSwECLQAUAAYACAAAACEAOP0h/9YAAACUAQAACwAAAAAAAAAAAAAA&#10;AAAvAQAAX3JlbHMvLnJlbHNQSwECLQAUAAYACAAAACEA0KI2HaUCAACZBQAADgAAAAAAAAAAAAAA&#10;AAAuAgAAZHJzL2Uyb0RvYy54bWxQSwECLQAUAAYACAAAACEAD0dD8eAAAAAJAQAADwAAAAAAAAAA&#10;AAAAAAD/BAAAZHJzL2Rvd25yZXYueG1sUEsFBgAAAAAEAAQA8wAAAAwGAAAAAA==&#10;" fillcolor="white [3201]" stroked="f" strokeweight=".5pt">
                <v:textbox>
                  <w:txbxContent>
                    <w:p w:rsidR="001C7AF4" w:rsidRPr="00966650" w:rsidRDefault="001C7AF4" w:rsidP="001C7A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66650">
                        <w:rPr>
                          <w:rFonts w:ascii="Times New Roman" w:hAnsi="Times New Roman" w:cs="Times New Roman"/>
                        </w:rPr>
                        <w:t>Рис. 1 Генеральний план виробництва</w:t>
                      </w:r>
                      <w:r>
                        <w:rPr>
                          <w:rFonts w:ascii="Times New Roman" w:hAnsi="Times New Roman" w:cs="Times New Roman"/>
                        </w:rPr>
                        <w:t>, де сталася пожежа</w:t>
                      </w:r>
                    </w:p>
                  </w:txbxContent>
                </v:textbox>
              </v:shape>
            </w:pict>
          </mc:Fallback>
        </mc:AlternateContent>
      </w:r>
    </w:p>
    <w:p w:rsidR="001C7AF4" w:rsidRPr="001C7AF4" w:rsidRDefault="001C7AF4" w:rsidP="001C7AF4">
      <w:pPr>
        <w:tabs>
          <w:tab w:val="left" w:pos="216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2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Планові перевірки суб’єктів господарювання здійснюються відповідно до </w:t>
      </w:r>
      <w:r w:rsidR="00776238" w:rsidRP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створених засобами д</w:t>
      </w:r>
      <w:r w:rsidR="00776238" w:rsidRPr="00776238">
        <w:rPr>
          <w:rFonts w:ascii="Times New Roman" w:hAnsi="Times New Roman" w:cs="Times New Roman"/>
          <w:color w:val="000000" w:themeColor="text1"/>
          <w:sz w:val="24"/>
          <w:szCs w:val="24"/>
        </w:rPr>
        <w:t>ілової графік</w:t>
      </w:r>
      <w:r w:rsidR="00776238" w:rsidRP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776238" w:rsidRPr="00776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>квартальних планів-графіків</w:t>
      </w:r>
      <w:r w:rsid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Вони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затверджуються керівником відповідного органу Держтехногенбезпеки України до </w:t>
      </w:r>
      <w:r w:rsid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двадцятого 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останнього місяця кварталу, що передує плановому. Прикладом може слугувати </w:t>
      </w:r>
      <w:r w:rsidR="00776238">
        <w:rPr>
          <w:rFonts w:ascii="Times New Roman" w:hAnsi="Times New Roman" w:cs="Times New Roman"/>
          <w:color w:val="000000" w:themeColor="text1"/>
          <w:sz w:val="24"/>
          <w:szCs w:val="24"/>
        </w:rPr>
        <w:t>табл</w:t>
      </w:r>
      <w:r w:rsidR="00776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иця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із за</w:t>
      </w:r>
      <w:r w:rsidR="000B2B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B2B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>нням створеної нами графіки (рис.</w:t>
      </w:r>
      <w:r w:rsidR="000B2B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1C7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>Побудувавши цей графік, бачимо як застосовується найчастіше ділова графіка в сфері цивільного захисту.</w:t>
      </w:r>
    </w:p>
    <w:p w:rsidR="001C7AF4" w:rsidRPr="001C7AF4" w:rsidRDefault="001C7AF4" w:rsidP="001C7AF4">
      <w:p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>Табл.1 Аналіз діяльності суб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1C7AF4">
        <w:rPr>
          <w:rFonts w:ascii="Times New Roman" w:hAnsi="Times New Roman" w:cs="Times New Roman"/>
          <w:color w:val="000000" w:themeColor="text1"/>
          <w:sz w:val="24"/>
          <w:szCs w:val="24"/>
        </w:rPr>
        <w:t>єктів господарювання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0"/>
        <w:gridCol w:w="2170"/>
        <w:gridCol w:w="1276"/>
        <w:gridCol w:w="1559"/>
      </w:tblGrid>
      <w:tr w:rsidR="00ED0B9F" w:rsidRPr="001C7AF4" w:rsidTr="00ED0B9F">
        <w:trPr>
          <w:trHeight w:val="584"/>
        </w:trPr>
        <w:tc>
          <w:tcPr>
            <w:tcW w:w="490" w:type="dxa"/>
            <w:vAlign w:val="center"/>
          </w:tcPr>
          <w:p w:rsidR="001C7AF4" w:rsidRPr="00ED0B9F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D0B9F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2170" w:type="dxa"/>
            <w:vAlign w:val="center"/>
          </w:tcPr>
          <w:p w:rsidR="001C7AF4" w:rsidRPr="00ED0B9F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D0B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Суб’єкт господарювання</w:t>
            </w:r>
          </w:p>
        </w:tc>
        <w:tc>
          <w:tcPr>
            <w:tcW w:w="1276" w:type="dxa"/>
            <w:vAlign w:val="center"/>
          </w:tcPr>
          <w:p w:rsidR="001C7AF4" w:rsidRPr="00ED0B9F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D0B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Планова </w:t>
            </w:r>
          </w:p>
          <w:p w:rsidR="001C7AF4" w:rsidRPr="00ED0B9F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D0B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к-сть</w:t>
            </w:r>
          </w:p>
        </w:tc>
        <w:tc>
          <w:tcPr>
            <w:tcW w:w="1559" w:type="dxa"/>
            <w:vAlign w:val="center"/>
          </w:tcPr>
          <w:p w:rsidR="001C7AF4" w:rsidRPr="00ED0B9F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D0B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Позапланова</w:t>
            </w:r>
          </w:p>
          <w:p w:rsidR="001C7AF4" w:rsidRPr="00ED0B9F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D0B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к-сть</w:t>
            </w:r>
          </w:p>
        </w:tc>
      </w:tr>
      <w:tr w:rsidR="00ED0B9F" w:rsidRPr="001C7AF4" w:rsidTr="00ED0B9F">
        <w:trPr>
          <w:trHeight w:val="303"/>
        </w:trPr>
        <w:tc>
          <w:tcPr>
            <w:tcW w:w="490" w:type="dxa"/>
          </w:tcPr>
          <w:p w:rsidR="001C7AF4" w:rsidRPr="001C7AF4" w:rsidRDefault="001C7AF4" w:rsidP="001C7AF4">
            <w:pPr>
              <w:pStyle w:val="a7"/>
              <w:numPr>
                <w:ilvl w:val="0"/>
                <w:numId w:val="5"/>
              </w:numPr>
              <w:tabs>
                <w:tab w:val="left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АЗС</w:t>
            </w:r>
          </w:p>
        </w:tc>
        <w:tc>
          <w:tcPr>
            <w:tcW w:w="1276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D0B9F" w:rsidRPr="001C7AF4" w:rsidTr="00ED0B9F">
        <w:trPr>
          <w:trHeight w:val="292"/>
        </w:trPr>
        <w:tc>
          <w:tcPr>
            <w:tcW w:w="490" w:type="dxa"/>
          </w:tcPr>
          <w:p w:rsidR="001C7AF4" w:rsidRPr="001C7AF4" w:rsidRDefault="001C7AF4" w:rsidP="001C7AF4">
            <w:pPr>
              <w:pStyle w:val="a7"/>
              <w:numPr>
                <w:ilvl w:val="0"/>
                <w:numId w:val="5"/>
              </w:numPr>
              <w:tabs>
                <w:tab w:val="left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«ЗОС»</w:t>
            </w:r>
          </w:p>
        </w:tc>
        <w:tc>
          <w:tcPr>
            <w:tcW w:w="1276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D0B9F" w:rsidRPr="001C7AF4" w:rsidTr="00ED0B9F">
        <w:trPr>
          <w:trHeight w:val="292"/>
        </w:trPr>
        <w:tc>
          <w:tcPr>
            <w:tcW w:w="490" w:type="dxa"/>
          </w:tcPr>
          <w:p w:rsidR="001C7AF4" w:rsidRPr="001C7AF4" w:rsidRDefault="001C7AF4" w:rsidP="001C7AF4">
            <w:pPr>
              <w:pStyle w:val="a7"/>
              <w:numPr>
                <w:ilvl w:val="0"/>
                <w:numId w:val="5"/>
              </w:numPr>
              <w:tabs>
                <w:tab w:val="left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ХІМДЕКОР, ПП</w:t>
            </w:r>
          </w:p>
        </w:tc>
        <w:tc>
          <w:tcPr>
            <w:tcW w:w="1276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D0B9F" w:rsidRPr="001C7AF4" w:rsidTr="00ED0B9F">
        <w:trPr>
          <w:trHeight w:val="303"/>
        </w:trPr>
        <w:tc>
          <w:tcPr>
            <w:tcW w:w="490" w:type="dxa"/>
          </w:tcPr>
          <w:p w:rsidR="001C7AF4" w:rsidRPr="001C7AF4" w:rsidRDefault="001C7AF4" w:rsidP="001C7AF4">
            <w:pPr>
              <w:pStyle w:val="a7"/>
              <w:numPr>
                <w:ilvl w:val="0"/>
                <w:numId w:val="5"/>
              </w:numPr>
              <w:tabs>
                <w:tab w:val="left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BETON</w:t>
            </w:r>
          </w:p>
        </w:tc>
        <w:tc>
          <w:tcPr>
            <w:tcW w:w="1276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D0B9F" w:rsidRPr="001C7AF4" w:rsidTr="00ED0B9F">
        <w:trPr>
          <w:trHeight w:val="303"/>
        </w:trPr>
        <w:tc>
          <w:tcPr>
            <w:tcW w:w="490" w:type="dxa"/>
          </w:tcPr>
          <w:p w:rsidR="001C7AF4" w:rsidRPr="001C7AF4" w:rsidRDefault="001C7AF4" w:rsidP="001C7AF4">
            <w:pPr>
              <w:pStyle w:val="a7"/>
              <w:numPr>
                <w:ilvl w:val="0"/>
                <w:numId w:val="5"/>
              </w:numPr>
              <w:tabs>
                <w:tab w:val="left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 БІР ТРЕЙД</w:t>
            </w:r>
          </w:p>
        </w:tc>
        <w:tc>
          <w:tcPr>
            <w:tcW w:w="1276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C7AF4" w:rsidRPr="001C7AF4" w:rsidRDefault="001C7AF4" w:rsidP="001F65F2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1C7AF4" w:rsidRPr="001C7AF4" w:rsidRDefault="00135E82" w:rsidP="001C7AF4">
      <w:p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41">
        <w:rPr>
          <w:noProof/>
          <w:color w:val="000000" w:themeColor="text1"/>
          <w:sz w:val="28"/>
          <w:szCs w:val="28"/>
          <w:lang w:val="uk-UA"/>
        </w:rPr>
        <w:drawing>
          <wp:anchor distT="0" distB="0" distL="114300" distR="114300" simplePos="0" relativeHeight="25172224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184150</wp:posOffset>
            </wp:positionV>
            <wp:extent cx="419100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502" y="21470"/>
                <wp:lineTo x="21502" y="0"/>
                <wp:lineTo x="0" y="0"/>
              </wp:wrapPolygon>
            </wp:wrapTight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AF4" w:rsidRPr="001C7AF4" w:rsidRDefault="00ED0B9F" w:rsidP="001C7AF4">
      <w:p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D0B9F" w:rsidRDefault="00ED0B9F" w:rsidP="00ED0B9F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35E82" w:rsidRDefault="00135E82" w:rsidP="00ED0B9F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35E82" w:rsidRDefault="00135E82" w:rsidP="00ED0B9F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35E82" w:rsidRPr="009A1541" w:rsidRDefault="00135E82" w:rsidP="00ED0B9F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133D9" w:rsidRDefault="007133D9" w:rsidP="00ED0B9F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rStyle w:val="ab"/>
          <w:i w:val="0"/>
          <w:color w:val="000000" w:themeColor="text1"/>
          <w:szCs w:val="28"/>
        </w:rPr>
      </w:pPr>
    </w:p>
    <w:p w:rsidR="00ED0B9F" w:rsidRPr="00135E82" w:rsidRDefault="00ED0B9F" w:rsidP="00ED0B9F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 w:themeColor="text1"/>
          <w:szCs w:val="28"/>
        </w:rPr>
      </w:pPr>
      <w:r w:rsidRPr="00135E82">
        <w:rPr>
          <w:rStyle w:val="ab"/>
          <w:i w:val="0"/>
          <w:color w:val="000000" w:themeColor="text1"/>
          <w:szCs w:val="28"/>
        </w:rPr>
        <w:t>Рис.</w:t>
      </w:r>
      <w:r w:rsidR="000B2BEF">
        <w:rPr>
          <w:rStyle w:val="ab"/>
          <w:i w:val="0"/>
          <w:color w:val="000000" w:themeColor="text1"/>
          <w:szCs w:val="28"/>
          <w:lang w:val="uk-UA"/>
        </w:rPr>
        <w:t>3</w:t>
      </w:r>
      <w:r w:rsidRPr="00135E82">
        <w:rPr>
          <w:rStyle w:val="ab"/>
          <w:i w:val="0"/>
          <w:color w:val="000000" w:themeColor="text1"/>
          <w:szCs w:val="28"/>
        </w:rPr>
        <w:t>. Динаміка виникнення НС та їх наслідків</w:t>
      </w:r>
    </w:p>
    <w:p w:rsidR="00135E82" w:rsidRPr="006541D0" w:rsidRDefault="00ED0B9F" w:rsidP="00135E82">
      <w:pPr>
        <w:pStyle w:val="a9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lang w:val="uk-UA"/>
        </w:rPr>
      </w:pPr>
      <w:r w:rsidRPr="00ED0B9F">
        <w:rPr>
          <w:color w:val="000000" w:themeColor="text1"/>
          <w:szCs w:val="28"/>
          <w:lang w:val="uk-UA"/>
        </w:rPr>
        <w:t>З побудованих нами графіч</w:t>
      </w:r>
      <w:r w:rsidR="007133D9">
        <w:rPr>
          <w:color w:val="000000" w:themeColor="text1"/>
          <w:szCs w:val="28"/>
          <w:lang w:val="uk-UA"/>
        </w:rPr>
        <w:t>н</w:t>
      </w:r>
      <w:r w:rsidRPr="00ED0B9F">
        <w:rPr>
          <w:color w:val="000000" w:themeColor="text1"/>
          <w:szCs w:val="28"/>
          <w:lang w:val="uk-UA"/>
        </w:rPr>
        <w:t>их з</w:t>
      </w:r>
      <w:r w:rsidR="006541D0">
        <w:rPr>
          <w:color w:val="000000" w:themeColor="text1"/>
          <w:szCs w:val="28"/>
          <w:lang w:val="uk-UA"/>
        </w:rPr>
        <w:t xml:space="preserve">алежностей, приведених на рис. </w:t>
      </w:r>
      <w:r w:rsidR="000B2BEF">
        <w:rPr>
          <w:color w:val="000000" w:themeColor="text1"/>
          <w:szCs w:val="28"/>
          <w:lang w:val="uk-UA"/>
        </w:rPr>
        <w:t>3</w:t>
      </w:r>
      <w:r w:rsidRPr="00ED0B9F">
        <w:rPr>
          <w:color w:val="000000" w:themeColor="text1"/>
          <w:szCs w:val="28"/>
          <w:lang w:val="uk-UA"/>
        </w:rPr>
        <w:t>, можна зробити висновок, що</w:t>
      </w:r>
      <w:r w:rsidR="006541D0">
        <w:rPr>
          <w:color w:val="000000" w:themeColor="text1"/>
          <w:szCs w:val="28"/>
          <w:lang w:val="uk-UA"/>
        </w:rPr>
        <w:t>,</w:t>
      </w:r>
      <w:r w:rsidRPr="00ED0B9F">
        <w:rPr>
          <w:color w:val="000000" w:themeColor="text1"/>
          <w:szCs w:val="28"/>
          <w:lang w:val="uk-UA"/>
        </w:rPr>
        <w:t xml:space="preserve"> враховуючи </w:t>
      </w:r>
      <w:r w:rsidR="00244C30">
        <w:rPr>
          <w:color w:val="000000" w:themeColor="text1"/>
          <w:szCs w:val="28"/>
          <w:lang w:val="uk-UA"/>
        </w:rPr>
        <w:t>сталість</w:t>
      </w:r>
      <w:r w:rsidRPr="00ED0B9F">
        <w:rPr>
          <w:color w:val="000000" w:themeColor="text1"/>
          <w:szCs w:val="28"/>
          <w:lang w:val="uk-UA"/>
        </w:rPr>
        <w:t xml:space="preserve"> рівня наслідків від НС, рівень ризиків виникнення НС природного та техногенного характеру та ризиків збитків від них залишаються практично незмінними та досить високими для більшості регіонів України</w:t>
      </w:r>
      <w:r w:rsidR="006541D0">
        <w:rPr>
          <w:color w:val="000000" w:themeColor="text1"/>
          <w:szCs w:val="28"/>
          <w:lang w:val="uk-UA"/>
        </w:rPr>
        <w:t xml:space="preserve">. Це </w:t>
      </w:r>
      <w:r w:rsidRPr="00ED0B9F">
        <w:rPr>
          <w:color w:val="000000" w:themeColor="text1"/>
          <w:szCs w:val="28"/>
          <w:lang w:val="uk-UA"/>
        </w:rPr>
        <w:t>підтверджується рекордною сумою завданих надзвичайними ситуаціями збитків у 2020 році.</w:t>
      </w:r>
      <w:r w:rsidR="00135E82" w:rsidRPr="00135E82">
        <w:rPr>
          <w:color w:val="000000" w:themeColor="text1"/>
          <w:szCs w:val="28"/>
        </w:rPr>
        <w:t xml:space="preserve"> </w:t>
      </w:r>
      <w:r w:rsidR="00135E82" w:rsidRPr="001C7AF4">
        <w:rPr>
          <w:color w:val="000000" w:themeColor="text1"/>
        </w:rPr>
        <w:t>Бачимо, що ділова графіка п</w:t>
      </w:r>
      <w:r w:rsidR="006541D0">
        <w:rPr>
          <w:color w:val="000000" w:themeColor="text1"/>
          <w:lang w:val="uk-UA"/>
        </w:rPr>
        <w:t>ідвищує результативність</w:t>
      </w:r>
      <w:r w:rsidR="006541D0">
        <w:rPr>
          <w:color w:val="000000" w:themeColor="text1"/>
        </w:rPr>
        <w:t xml:space="preserve"> робот</w:t>
      </w:r>
      <w:r w:rsidR="006541D0">
        <w:rPr>
          <w:color w:val="000000" w:themeColor="text1"/>
          <w:lang w:val="uk-UA"/>
        </w:rPr>
        <w:t>и</w:t>
      </w:r>
      <w:r w:rsidR="00135E82" w:rsidRPr="001C7AF4">
        <w:rPr>
          <w:color w:val="000000" w:themeColor="text1"/>
        </w:rPr>
        <w:t xml:space="preserve"> в сфері цивільного захисту, тому оброблення інформації </w:t>
      </w:r>
      <w:r w:rsidR="006541D0">
        <w:rPr>
          <w:color w:val="000000" w:themeColor="text1"/>
          <w:lang w:val="uk-UA"/>
        </w:rPr>
        <w:t xml:space="preserve">широко </w:t>
      </w:r>
      <w:r w:rsidR="00135E82" w:rsidRPr="001C7AF4">
        <w:rPr>
          <w:color w:val="000000" w:themeColor="text1"/>
        </w:rPr>
        <w:t xml:space="preserve">застосовується в інспекції, наприклад, для </w:t>
      </w:r>
      <w:r w:rsidR="006541D0">
        <w:rPr>
          <w:color w:val="000000" w:themeColor="text1"/>
        </w:rPr>
        <w:t>формування плану-графік</w:t>
      </w:r>
      <w:r w:rsidR="006541D0">
        <w:rPr>
          <w:color w:val="000000" w:themeColor="text1"/>
          <w:lang w:val="uk-UA"/>
        </w:rPr>
        <w:t xml:space="preserve">а </w:t>
      </w:r>
      <w:r w:rsidR="007133D9" w:rsidRPr="007133D9">
        <w:rPr>
          <w:color w:val="000000" w:themeColor="text1"/>
        </w:rPr>
        <w:t>[2]</w:t>
      </w:r>
      <w:r w:rsidR="006541D0">
        <w:rPr>
          <w:color w:val="000000" w:themeColor="text1"/>
          <w:lang w:val="uk-UA"/>
        </w:rPr>
        <w:t>.</w:t>
      </w:r>
    </w:p>
    <w:p w:rsidR="00500234" w:rsidRPr="006541D0" w:rsidRDefault="00135E82" w:rsidP="00135E82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  <w:r w:rsidRPr="00135E82">
        <w:rPr>
          <w:rFonts w:ascii="Times New Roman" w:hAnsi="Times New Roman" w:cs="Times New Roman"/>
          <w:b/>
          <w:sz w:val="24"/>
          <w:szCs w:val="24"/>
        </w:rPr>
        <w:t>Література</w:t>
      </w:r>
      <w:r w:rsidR="006541D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D0B9F" w:rsidRPr="00ED0B9F" w:rsidRDefault="00ED0B9F" w:rsidP="00ED0B9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D0B9F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1</w:t>
      </w:r>
      <w:r w:rsidRPr="00ED0B9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Мураховський В. І. </w:t>
      </w:r>
      <w:r w:rsidRPr="00ED0B9F">
        <w:rPr>
          <w:rFonts w:ascii="Times New Roman" w:hAnsi="Times New Roman" w:cs="Times New Roman"/>
          <w:color w:val="01011B"/>
          <w:sz w:val="24"/>
          <w:szCs w:val="27"/>
          <w:shd w:val="clear" w:color="auto" w:fill="FFFFFF"/>
        </w:rPr>
        <w:t>Комп'ютерна графіка</w:t>
      </w:r>
      <w:r w:rsidR="00244C30">
        <w:rPr>
          <w:rFonts w:ascii="Times New Roman" w:hAnsi="Times New Roman" w:cs="Times New Roman"/>
          <w:color w:val="01011B"/>
          <w:sz w:val="24"/>
          <w:szCs w:val="27"/>
          <w:shd w:val="clear" w:color="auto" w:fill="FFFFFF"/>
          <w:lang w:val="uk-UA"/>
        </w:rPr>
        <w:t xml:space="preserve">. </w:t>
      </w:r>
      <w:bookmarkStart w:id="1" w:name="_GoBack"/>
      <w:bookmarkEnd w:id="1"/>
      <w:r w:rsidRPr="00ED0B9F">
        <w:rPr>
          <w:rFonts w:ascii="Times New Roman" w:hAnsi="Times New Roman" w:cs="Times New Roman"/>
          <w:color w:val="01011B"/>
          <w:sz w:val="24"/>
          <w:szCs w:val="27"/>
          <w:shd w:val="clear" w:color="auto" w:fill="FFFFFF"/>
        </w:rPr>
        <w:t xml:space="preserve"> Популярна енциклопедія.</w:t>
      </w:r>
      <w:r w:rsidRPr="00ED0B9F">
        <w:rPr>
          <w:sz w:val="20"/>
        </w:rPr>
        <w:t xml:space="preserve"> </w:t>
      </w:r>
      <w:r w:rsidRPr="00ED0B9F">
        <w:rPr>
          <w:rFonts w:ascii="Times New Roman" w:hAnsi="Times New Roman" w:cs="Times New Roman"/>
          <w:color w:val="01011B"/>
          <w:sz w:val="24"/>
          <w:szCs w:val="27"/>
          <w:shd w:val="clear" w:color="auto" w:fill="FFFFFF"/>
        </w:rPr>
        <w:t>АСТ «ПРЕСС». 2012. C. 20.</w:t>
      </w:r>
    </w:p>
    <w:p w:rsidR="00ED0B9F" w:rsidRPr="00785C98" w:rsidRDefault="00ED0B9F" w:rsidP="00ED0B9F">
      <w:pPr>
        <w:pStyle w:val="1"/>
        <w:spacing w:before="0" w:after="225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45"/>
        </w:rPr>
      </w:pPr>
      <w:bookmarkStart w:id="2" w:name="_Toc83654487"/>
      <w:bookmarkStart w:id="3" w:name="_Toc83655246"/>
      <w:bookmarkStart w:id="4" w:name="_Toc83657867"/>
      <w:bookmarkStart w:id="5" w:name="_Toc84239371"/>
      <w:r w:rsidRPr="00ED0B9F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2</w:t>
      </w:r>
      <w:r w:rsidRPr="00ED0B9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Пічугін М.Ф. </w:t>
      </w:r>
      <w:r w:rsidRPr="00ED0B9F">
        <w:rPr>
          <w:rFonts w:ascii="Times New Roman" w:hAnsi="Times New Roman" w:cs="Times New Roman"/>
          <w:color w:val="000000" w:themeColor="text1"/>
          <w:sz w:val="24"/>
          <w:szCs w:val="45"/>
        </w:rPr>
        <w:t>Комп'ютерна графіка.</w:t>
      </w:r>
      <w:r w:rsidRPr="00ED0B9F">
        <w:rPr>
          <w:sz w:val="36"/>
        </w:rPr>
        <w:t xml:space="preserve"> </w:t>
      </w:r>
      <w:r w:rsidRPr="00ED0B9F">
        <w:rPr>
          <w:rFonts w:ascii="Times New Roman" w:hAnsi="Times New Roman" w:cs="Times New Roman"/>
          <w:color w:val="000000" w:themeColor="text1"/>
          <w:sz w:val="24"/>
          <w:szCs w:val="45"/>
        </w:rPr>
        <w:t xml:space="preserve">Навчальний посібник — К.: Центр учбової літератури, 2013. 346 </w:t>
      </w:r>
      <w:r>
        <w:rPr>
          <w:rFonts w:ascii="Times New Roman" w:hAnsi="Times New Roman" w:cs="Times New Roman"/>
          <w:color w:val="000000" w:themeColor="text1"/>
          <w:sz w:val="28"/>
          <w:szCs w:val="45"/>
        </w:rPr>
        <w:t>с.</w:t>
      </w:r>
      <w:bookmarkEnd w:id="2"/>
      <w:bookmarkEnd w:id="3"/>
      <w:bookmarkEnd w:id="4"/>
      <w:bookmarkEnd w:id="5"/>
      <w:r w:rsidRPr="00785C98">
        <w:rPr>
          <w:rFonts w:ascii="Times New Roman" w:hAnsi="Times New Roman" w:cs="Times New Roman"/>
          <w:color w:val="000000" w:themeColor="text1"/>
          <w:sz w:val="28"/>
          <w:szCs w:val="45"/>
        </w:rPr>
        <w:t xml:space="preserve"> </w:t>
      </w:r>
    </w:p>
    <w:p w:rsidR="00ED0B9F" w:rsidRDefault="00ED0B9F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00234" w:rsidRDefault="005F6FEB">
      <w:pPr>
        <w:widowControl w:val="0"/>
        <w:spacing w:after="200"/>
        <w:ind w:right="8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Заявка для участі у конференції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Назва організації: Львівський державний університет безпеки життєдіяльності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Поштова адреса: Клепарівська, 35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Телефон:</w:t>
      </w:r>
    </w:p>
    <w:p w:rsidR="00500234" w:rsidRPr="007133D9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Еmail:</w:t>
      </w:r>
      <w:r w:rsidR="00ED0B9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Mariya</w:t>
      </w:r>
      <w:r w:rsidR="00ED0B9F" w:rsidRPr="007133D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ED0B9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Honcharenko</w:t>
      </w:r>
      <w:r w:rsidR="00ED0B9F" w:rsidRPr="007133D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@</w:t>
      </w:r>
      <w:r w:rsidR="00ED0B9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ukr</w:t>
      </w:r>
      <w:r w:rsidR="00ED0B9F" w:rsidRPr="007133D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="00ED0B9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net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Дані про учасника:</w:t>
      </w:r>
    </w:p>
    <w:p w:rsidR="00500234" w:rsidRPr="00ED0B9F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Прізвище, ім’я, по батькові:  </w:t>
      </w:r>
      <w:r w:rsidR="00ED0B9F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Гончаренко Марія Олександрівна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Інститут (Факультет) :</w:t>
      </w:r>
      <w:r w:rsidR="00ED0B9F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Навчально-науковий 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нститут цивільного захисту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Курс: </w:t>
      </w:r>
      <w:r w:rsidR="00ED0B9F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курс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Кафедра: Комп’ютерні науки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Дані про наукового керівника: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Прізвище, ім’я, по батькові: Мартин Євген Володимирович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Місце роботи, посада: Львівський державний університет безпеки життєдіяльності, професор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Науковий ступінь, вчене звання: д.т.н., професор</w:t>
      </w:r>
    </w:p>
    <w:p w:rsidR="00500234" w:rsidRDefault="005F6FEB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Секція: Інформаційні технології в безпеці життєдіяльності</w:t>
      </w:r>
    </w:p>
    <w:p w:rsidR="00500234" w:rsidRDefault="00500234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500234" w:rsidSect="001C7AF4">
      <w:pgSz w:w="11909" w:h="16834"/>
      <w:pgMar w:top="1440" w:right="852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3A3"/>
    <w:multiLevelType w:val="hybridMultilevel"/>
    <w:tmpl w:val="B54CAAEA"/>
    <w:lvl w:ilvl="0" w:tplc="75E2D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0247"/>
    <w:multiLevelType w:val="multilevel"/>
    <w:tmpl w:val="22D213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F4C66DC"/>
    <w:multiLevelType w:val="multilevel"/>
    <w:tmpl w:val="C74091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F622F28"/>
    <w:multiLevelType w:val="multilevel"/>
    <w:tmpl w:val="9C169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FE62897"/>
    <w:multiLevelType w:val="hybridMultilevel"/>
    <w:tmpl w:val="A6E66D86"/>
    <w:lvl w:ilvl="0" w:tplc="33E43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34"/>
    <w:rsid w:val="000B2BEF"/>
    <w:rsid w:val="00135E82"/>
    <w:rsid w:val="00163405"/>
    <w:rsid w:val="00191329"/>
    <w:rsid w:val="001C0F88"/>
    <w:rsid w:val="001C7AF4"/>
    <w:rsid w:val="00213AC9"/>
    <w:rsid w:val="00244C30"/>
    <w:rsid w:val="00500234"/>
    <w:rsid w:val="00596226"/>
    <w:rsid w:val="005F6FEB"/>
    <w:rsid w:val="005F753F"/>
    <w:rsid w:val="006541D0"/>
    <w:rsid w:val="007133D9"/>
    <w:rsid w:val="00776238"/>
    <w:rsid w:val="00794371"/>
    <w:rsid w:val="008B3C8A"/>
    <w:rsid w:val="008F4959"/>
    <w:rsid w:val="00915D80"/>
    <w:rsid w:val="00A05DCA"/>
    <w:rsid w:val="00A16523"/>
    <w:rsid w:val="00ED0B9F"/>
    <w:rsid w:val="00E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913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styleId="a8">
    <w:name w:val="Hyperlink"/>
    <w:basedOn w:val="a0"/>
    <w:uiPriority w:val="99"/>
    <w:unhideWhenUsed/>
    <w:rsid w:val="001C7AF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C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1C7AF4"/>
    <w:pPr>
      <w:spacing w:line="240" w:lineRule="auto"/>
    </w:pPr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D0B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913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styleId="a8">
    <w:name w:val="Hyperlink"/>
    <w:basedOn w:val="a0"/>
    <w:uiPriority w:val="99"/>
    <w:unhideWhenUsed/>
    <w:rsid w:val="001C7AF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C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1C7AF4"/>
    <w:pPr>
      <w:spacing w:line="240" w:lineRule="auto"/>
    </w:pPr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D0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CHBD_ruUA952UA952&amp;sxsrf=ALeKk00U_Z7Qa---qJ_zRdQzGpyn_J9FiA:1621493311285&amp;q=%D1%80%D0%BE%D0%B7%27%D1%8F%D1%81%D0%BD%D0%B5%D0%BD%D0%BD%D1%8F&amp;spell=1&amp;sa=X&amp;ved=2ahUKEwjT-cum1dfwAhXShqQKHf8JBGoQBSgAegQIARA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595217264508603E-2"/>
          <c:y val="0.16083333333333336"/>
          <c:w val="0.8979418197725284"/>
          <c:h val="0.660304024496937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Загинуло в НС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365</c:v>
                </c:pt>
                <c:pt idx="1">
                  <c:v>301</c:v>
                </c:pt>
                <c:pt idx="2">
                  <c:v>253</c:v>
                </c:pt>
                <c:pt idx="3">
                  <c:v>287</c:v>
                </c:pt>
                <c:pt idx="4">
                  <c:v>242</c:v>
                </c:pt>
                <c:pt idx="5">
                  <c:v>183</c:v>
                </c:pt>
                <c:pt idx="6">
                  <c:v>172</c:v>
                </c:pt>
                <c:pt idx="7">
                  <c:v>168</c:v>
                </c:pt>
                <c:pt idx="8">
                  <c:v>200</c:v>
                </c:pt>
                <c:pt idx="9">
                  <c:v>170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Постраждало в НС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985</c:v>
                </c:pt>
                <c:pt idx="1">
                  <c:v>661</c:v>
                </c:pt>
                <c:pt idx="2">
                  <c:v>954</c:v>
                </c:pt>
                <c:pt idx="3">
                  <c:v>690</c:v>
                </c:pt>
                <c:pt idx="4">
                  <c:v>962</c:v>
                </c:pt>
                <c:pt idx="5">
                  <c:v>1956</c:v>
                </c:pt>
                <c:pt idx="6">
                  <c:v>892</c:v>
                </c:pt>
                <c:pt idx="7">
                  <c:v>839</c:v>
                </c:pt>
                <c:pt idx="8">
                  <c:v>1492</c:v>
                </c:pt>
                <c:pt idx="9">
                  <c:v>305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7"/>
        <c:overlap val="-34"/>
        <c:axId val="219013504"/>
        <c:axId val="218999424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Всього НС</c:v>
                </c:pt>
              </c:strCache>
            </c:strRef>
          </c:tx>
          <c:spPr>
            <a:ln w="34925" cap="rnd">
              <a:solidFill>
                <a:srgbClr val="00B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Pt>
            <c:idx val="9"/>
            <c:bubble3D val="0"/>
          </c:dPt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221</c:v>
                </c:pt>
                <c:pt idx="1">
                  <c:v>212</c:v>
                </c:pt>
                <c:pt idx="2">
                  <c:v>144</c:v>
                </c:pt>
                <c:pt idx="3">
                  <c:v>143</c:v>
                </c:pt>
                <c:pt idx="4">
                  <c:v>148</c:v>
                </c:pt>
                <c:pt idx="5">
                  <c:v>149</c:v>
                </c:pt>
                <c:pt idx="6">
                  <c:v>166</c:v>
                </c:pt>
                <c:pt idx="7">
                  <c:v>128</c:v>
                </c:pt>
                <c:pt idx="8">
                  <c:v>146</c:v>
                </c:pt>
                <c:pt idx="9">
                  <c:v>116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9016576"/>
        <c:axId val="219015040"/>
      </c:lineChart>
      <c:valAx>
        <c:axId val="218999424"/>
        <c:scaling>
          <c:orientation val="minMax"/>
          <c:max val="1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uk-UA"/>
          </a:p>
        </c:txPr>
        <c:crossAx val="219013504"/>
        <c:crosses val="autoZero"/>
        <c:crossBetween val="between"/>
        <c:majorUnit val="600"/>
        <c:minorUnit val="100"/>
      </c:valAx>
      <c:catAx>
        <c:axId val="21901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uk-UA"/>
          </a:p>
        </c:txPr>
        <c:crossAx val="218999424"/>
        <c:crossesAt val="0"/>
        <c:auto val="1"/>
        <c:lblAlgn val="ctr"/>
        <c:lblOffset val="100"/>
        <c:noMultiLvlLbl val="0"/>
      </c:catAx>
      <c:valAx>
        <c:axId val="21901504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uk-UA"/>
          </a:p>
        </c:txPr>
        <c:crossAx val="219016576"/>
        <c:crosses val="max"/>
        <c:crossBetween val="between"/>
      </c:valAx>
      <c:catAx>
        <c:axId val="219016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90150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Мартин</cp:lastModifiedBy>
  <cp:revision>10</cp:revision>
  <dcterms:created xsi:type="dcterms:W3CDTF">2021-10-04T15:06:00Z</dcterms:created>
  <dcterms:modified xsi:type="dcterms:W3CDTF">2021-10-11T10:27:00Z</dcterms:modified>
</cp:coreProperties>
</file>