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92" w:rsidRPr="00F97C54" w:rsidRDefault="00343492" w:rsidP="00343492">
      <w:pPr>
        <w:spacing w:after="0" w:line="360" w:lineRule="auto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F97C54">
        <w:rPr>
          <w:rFonts w:ascii="Times New Roman" w:hAnsi="Times New Roman"/>
          <w:b/>
          <w:caps/>
          <w:sz w:val="24"/>
          <w:szCs w:val="24"/>
          <w:lang w:val="uk-UA"/>
        </w:rPr>
        <w:t>УДК 621.311.61</w:t>
      </w:r>
    </w:p>
    <w:p w:rsidR="00667E99" w:rsidRPr="00D22294" w:rsidRDefault="00147D66" w:rsidP="005758E6">
      <w:pPr>
        <w:spacing w:after="0" w:line="360" w:lineRule="auto"/>
        <w:jc w:val="center"/>
        <w:rPr>
          <w:rFonts w:ascii="Times New Roman" w:hAnsi="Times New Roman"/>
          <w:b/>
          <w:caps/>
          <w:spacing w:val="-6"/>
          <w:sz w:val="24"/>
          <w:szCs w:val="24"/>
          <w:lang w:val="uk-UA"/>
        </w:rPr>
      </w:pPr>
      <w:r w:rsidRPr="00D22294">
        <w:rPr>
          <w:rFonts w:ascii="Times New Roman" w:hAnsi="Times New Roman"/>
          <w:b/>
          <w:caps/>
          <w:spacing w:val="-6"/>
          <w:sz w:val="24"/>
          <w:szCs w:val="24"/>
        </w:rPr>
        <w:t xml:space="preserve">ЗАЛЕЖНІСТЬ </w:t>
      </w:r>
      <w:r w:rsidR="00EB6225" w:rsidRPr="00D22294">
        <w:rPr>
          <w:rFonts w:ascii="Times New Roman" w:hAnsi="Times New Roman"/>
          <w:b/>
          <w:caps/>
          <w:spacing w:val="-6"/>
          <w:sz w:val="24"/>
          <w:szCs w:val="24"/>
        </w:rPr>
        <w:t>НАДІЙН</w:t>
      </w:r>
      <w:r w:rsidRPr="00D22294">
        <w:rPr>
          <w:rFonts w:ascii="Times New Roman" w:hAnsi="Times New Roman"/>
          <w:b/>
          <w:caps/>
          <w:spacing w:val="-6"/>
          <w:sz w:val="24"/>
          <w:szCs w:val="24"/>
          <w:lang w:val="uk-UA"/>
        </w:rPr>
        <w:t>о</w:t>
      </w:r>
      <w:r w:rsidR="00EB6225" w:rsidRPr="00D22294">
        <w:rPr>
          <w:rFonts w:ascii="Times New Roman" w:hAnsi="Times New Roman"/>
          <w:b/>
          <w:caps/>
          <w:spacing w:val="-6"/>
          <w:sz w:val="24"/>
          <w:szCs w:val="24"/>
          <w:lang w:val="uk-UA"/>
        </w:rPr>
        <w:t>ст</w:t>
      </w:r>
      <w:r w:rsidRPr="00D22294">
        <w:rPr>
          <w:rFonts w:ascii="Times New Roman" w:hAnsi="Times New Roman"/>
          <w:b/>
          <w:caps/>
          <w:spacing w:val="-6"/>
          <w:sz w:val="24"/>
          <w:szCs w:val="24"/>
          <w:lang w:val="uk-UA"/>
        </w:rPr>
        <w:t xml:space="preserve">і </w:t>
      </w:r>
      <w:r w:rsidR="00EB6225" w:rsidRPr="00D22294">
        <w:rPr>
          <w:rFonts w:ascii="Times New Roman" w:hAnsi="Times New Roman"/>
          <w:b/>
          <w:caps/>
          <w:spacing w:val="-6"/>
          <w:sz w:val="24"/>
          <w:szCs w:val="24"/>
          <w:lang w:val="uk-UA"/>
        </w:rPr>
        <w:t>електропостачання</w:t>
      </w:r>
      <w:r w:rsidRPr="00D22294">
        <w:rPr>
          <w:rFonts w:ascii="Times New Roman" w:hAnsi="Times New Roman"/>
          <w:b/>
          <w:caps/>
          <w:spacing w:val="-6"/>
          <w:sz w:val="24"/>
          <w:szCs w:val="24"/>
          <w:lang w:val="uk-UA"/>
        </w:rPr>
        <w:t xml:space="preserve"> </w:t>
      </w:r>
      <w:r w:rsidR="00856EAB" w:rsidRPr="00D22294">
        <w:rPr>
          <w:rFonts w:ascii="Times New Roman" w:hAnsi="Times New Roman"/>
          <w:b/>
          <w:caps/>
          <w:spacing w:val="-6"/>
          <w:sz w:val="24"/>
          <w:szCs w:val="24"/>
          <w:lang w:val="uk-UA"/>
        </w:rPr>
        <w:t xml:space="preserve">систем протипожежного захисту </w:t>
      </w:r>
      <w:r w:rsidRPr="00D22294">
        <w:rPr>
          <w:rFonts w:ascii="Times New Roman" w:hAnsi="Times New Roman"/>
          <w:b/>
          <w:caps/>
          <w:spacing w:val="-6"/>
          <w:sz w:val="24"/>
          <w:szCs w:val="24"/>
          <w:lang w:val="uk-UA"/>
        </w:rPr>
        <w:t xml:space="preserve">від складу електроенергетичної системи </w:t>
      </w:r>
    </w:p>
    <w:p w:rsidR="00343492" w:rsidRPr="00147D66" w:rsidRDefault="00343492" w:rsidP="00343492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343492" w:rsidRPr="00F97C54" w:rsidRDefault="00343492" w:rsidP="00343492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Борачок О.М</w:t>
      </w:r>
      <w:r w:rsidRPr="00F97C54">
        <w:rPr>
          <w:rFonts w:ascii="Times New Roman" w:hAnsi="Times New Roman"/>
          <w:i/>
          <w:sz w:val="24"/>
          <w:szCs w:val="24"/>
          <w:lang w:val="uk-UA"/>
        </w:rPr>
        <w:t>., ЛДУ БЖД</w:t>
      </w:r>
    </w:p>
    <w:p w:rsidR="00343492" w:rsidRPr="00F97C54" w:rsidRDefault="00343492" w:rsidP="0034349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F97C54">
        <w:rPr>
          <w:rFonts w:ascii="Times New Roman" w:hAnsi="Times New Roman"/>
          <w:sz w:val="24"/>
          <w:szCs w:val="24"/>
          <w:lang w:val="uk-UA"/>
        </w:rPr>
        <w:t>Шаповалов О.В., ЛДУ БЖД., доцент кафедри, к.т.н</w:t>
      </w:r>
    </w:p>
    <w:p w:rsidR="000B61ED" w:rsidRPr="003E33B4" w:rsidRDefault="000B61ED" w:rsidP="005758E6">
      <w:pPr>
        <w:spacing w:after="0" w:line="360" w:lineRule="auto"/>
        <w:jc w:val="both"/>
        <w:rPr>
          <w:rFonts w:ascii="Times New Roman" w:hAnsi="Times New Roman"/>
          <w:lang w:val="uk-UA"/>
        </w:rPr>
      </w:pPr>
    </w:p>
    <w:p w:rsidR="000644F1" w:rsidRPr="00343492" w:rsidRDefault="000644F1" w:rsidP="005758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3492">
        <w:rPr>
          <w:rFonts w:ascii="Times New Roman" w:hAnsi="Times New Roman"/>
          <w:sz w:val="24"/>
          <w:szCs w:val="24"/>
          <w:lang w:val="uk-UA"/>
        </w:rPr>
        <w:t>Одночасні знеструмлення десятків і сотень населених пунктів</w:t>
      </w:r>
      <w:r w:rsidR="002D12DE" w:rsidRPr="00343492">
        <w:rPr>
          <w:rFonts w:ascii="Times New Roman" w:hAnsi="Times New Roman"/>
          <w:sz w:val="24"/>
          <w:szCs w:val="24"/>
          <w:lang w:val="uk-UA"/>
        </w:rPr>
        <w:t>, про що</w:t>
      </w:r>
      <w:r w:rsidR="00343492" w:rsidRPr="003434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12DE" w:rsidRPr="00343492">
        <w:rPr>
          <w:rFonts w:ascii="Times New Roman" w:hAnsi="Times New Roman"/>
          <w:sz w:val="24"/>
          <w:szCs w:val="24"/>
          <w:lang w:val="uk-UA"/>
        </w:rPr>
        <w:t xml:space="preserve">свідчать звіти ДСНС України та інших оперативних служб, </w:t>
      </w:r>
      <w:r w:rsidRPr="00343492">
        <w:rPr>
          <w:rFonts w:ascii="Times New Roman" w:hAnsi="Times New Roman"/>
          <w:sz w:val="24"/>
          <w:szCs w:val="24"/>
          <w:lang w:val="uk-UA"/>
        </w:rPr>
        <w:t>впливає на забезпечення протипожежного захисту об’єктів та безпеки людей</w:t>
      </w:r>
      <w:r w:rsidR="00D54904" w:rsidRPr="00343492">
        <w:rPr>
          <w:rFonts w:ascii="Times New Roman" w:hAnsi="Times New Roman"/>
          <w:sz w:val="24"/>
          <w:szCs w:val="24"/>
          <w:lang w:val="uk-UA"/>
        </w:rPr>
        <w:t>.</w:t>
      </w:r>
      <w:r w:rsidRPr="00343492">
        <w:rPr>
          <w:rFonts w:ascii="Times New Roman" w:hAnsi="Times New Roman"/>
          <w:sz w:val="24"/>
          <w:szCs w:val="24"/>
          <w:lang w:val="uk-UA"/>
        </w:rPr>
        <w:t xml:space="preserve"> Враховуючи непередбачуваність виникнення подій необхідно застосовувати способи забезпечення резервного електроживлення незалежного від електропостачання та кліматичних умов експлуатування систем протипожежного захисту</w:t>
      </w:r>
      <w:r w:rsidR="00436337" w:rsidRPr="00343492">
        <w:rPr>
          <w:rFonts w:ascii="Times New Roman" w:hAnsi="Times New Roman"/>
          <w:sz w:val="24"/>
          <w:szCs w:val="24"/>
          <w:lang w:val="uk-UA"/>
        </w:rPr>
        <w:t>.</w:t>
      </w:r>
    </w:p>
    <w:p w:rsidR="00826459" w:rsidRPr="00343492" w:rsidRDefault="005847D8" w:rsidP="005758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3492">
        <w:rPr>
          <w:rFonts w:ascii="Times New Roman" w:hAnsi="Times New Roman"/>
          <w:sz w:val="24"/>
          <w:szCs w:val="24"/>
          <w:lang w:val="uk-UA"/>
        </w:rPr>
        <w:t xml:space="preserve">Одним з основних показників </w:t>
      </w:r>
      <w:r w:rsidR="0051707D" w:rsidRPr="00343492">
        <w:rPr>
          <w:rFonts w:ascii="Times New Roman" w:hAnsi="Times New Roman"/>
          <w:sz w:val="24"/>
          <w:szCs w:val="24"/>
          <w:lang w:val="uk-UA"/>
        </w:rPr>
        <w:t>безвідмовності</w:t>
      </w:r>
      <w:r w:rsidRPr="00343492">
        <w:rPr>
          <w:rFonts w:ascii="Times New Roman" w:hAnsi="Times New Roman"/>
          <w:sz w:val="24"/>
          <w:szCs w:val="24"/>
          <w:lang w:val="uk-UA"/>
        </w:rPr>
        <w:t xml:space="preserve"> є ймовірність безвідмовної роботи</w:t>
      </w:r>
      <w:r w:rsidR="00343492" w:rsidRPr="003434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47EB" w:rsidRPr="00343492">
        <w:rPr>
          <w:rFonts w:ascii="Times New Roman" w:hAnsi="Times New Roman"/>
          <w:sz w:val="24"/>
          <w:szCs w:val="24"/>
          <w:lang w:val="uk-UA"/>
        </w:rPr>
        <w:t>об</w:t>
      </w:r>
      <w:r w:rsidR="00333BB2" w:rsidRPr="00343492">
        <w:rPr>
          <w:rFonts w:ascii="Times New Roman" w:hAnsi="Times New Roman"/>
          <w:sz w:val="24"/>
          <w:szCs w:val="24"/>
          <w:lang w:val="uk-UA"/>
        </w:rPr>
        <w:t>’</w:t>
      </w:r>
      <w:r w:rsidR="002847EB" w:rsidRPr="00343492">
        <w:rPr>
          <w:rFonts w:ascii="Times New Roman" w:hAnsi="Times New Roman"/>
          <w:sz w:val="24"/>
          <w:szCs w:val="24"/>
          <w:lang w:val="uk-UA"/>
        </w:rPr>
        <w:t>єкта</w:t>
      </w:r>
      <w:r w:rsidR="00826459" w:rsidRPr="00343492">
        <w:rPr>
          <w:rFonts w:ascii="Times New Roman" w:hAnsi="Times New Roman"/>
          <w:sz w:val="24"/>
          <w:szCs w:val="24"/>
          <w:lang w:val="uk-UA"/>
        </w:rPr>
        <w:t xml:space="preserve"> протягом заданого часу, тобто що час </w:t>
      </w:r>
      <w:r w:rsidR="00826459" w:rsidRPr="00343492">
        <w:rPr>
          <w:rFonts w:ascii="Times New Roman" w:hAnsi="Times New Roman"/>
          <w:i/>
          <w:sz w:val="24"/>
          <w:szCs w:val="24"/>
          <w:lang w:val="uk-UA"/>
        </w:rPr>
        <w:t>Т</w:t>
      </w:r>
      <w:r w:rsidR="00826459" w:rsidRPr="00343492">
        <w:rPr>
          <w:rFonts w:ascii="Times New Roman" w:hAnsi="Times New Roman"/>
          <w:sz w:val="24"/>
          <w:szCs w:val="24"/>
          <w:lang w:val="uk-UA"/>
        </w:rPr>
        <w:t xml:space="preserve"> безвідмовної роботи </w:t>
      </w:r>
      <w:r w:rsidR="0051707D" w:rsidRPr="00343492">
        <w:rPr>
          <w:rFonts w:ascii="Times New Roman" w:hAnsi="Times New Roman"/>
          <w:sz w:val="24"/>
          <w:szCs w:val="24"/>
          <w:lang w:val="uk-UA"/>
        </w:rPr>
        <w:t xml:space="preserve">системи чи </w:t>
      </w:r>
      <w:r w:rsidR="00826459" w:rsidRPr="00343492">
        <w:rPr>
          <w:rFonts w:ascii="Times New Roman" w:hAnsi="Times New Roman"/>
          <w:sz w:val="24"/>
          <w:szCs w:val="24"/>
          <w:lang w:val="uk-UA"/>
        </w:rPr>
        <w:t xml:space="preserve">елемента </w:t>
      </w:r>
      <w:r w:rsidR="0051707D" w:rsidRPr="00343492">
        <w:rPr>
          <w:rFonts w:ascii="Times New Roman" w:hAnsi="Times New Roman"/>
          <w:sz w:val="24"/>
          <w:szCs w:val="24"/>
          <w:lang w:val="uk-UA"/>
        </w:rPr>
        <w:t xml:space="preserve">системи </w:t>
      </w:r>
      <w:r w:rsidR="00826459" w:rsidRPr="00343492">
        <w:rPr>
          <w:rFonts w:ascii="Times New Roman" w:hAnsi="Times New Roman"/>
          <w:sz w:val="24"/>
          <w:szCs w:val="24"/>
          <w:lang w:val="uk-UA"/>
        </w:rPr>
        <w:t xml:space="preserve">буде більшим від заданого часу </w:t>
      </w:r>
      <w:r w:rsidR="00B872DD" w:rsidRPr="00343492">
        <w:rPr>
          <w:rFonts w:ascii="Times New Roman" w:hAnsi="Times New Roman"/>
          <w:position w:val="-6"/>
          <w:sz w:val="24"/>
          <w:szCs w:val="24"/>
          <w:lang w:val="uk-UA"/>
        </w:rPr>
        <w:object w:dxaOrig="139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pt" o:ole="">
            <v:imagedata r:id="rId8" o:title=""/>
          </v:shape>
          <o:OLEObject Type="Embed" ProgID="Equation.DSMT4" ShapeID="_x0000_i1025" DrawAspect="Content" ObjectID="_1612594485" r:id="rId9"/>
        </w:object>
      </w:r>
      <w:r w:rsidR="00826459" w:rsidRPr="00343492">
        <w:rPr>
          <w:rFonts w:ascii="Times New Roman" w:hAnsi="Times New Roman"/>
          <w:sz w:val="24"/>
          <w:szCs w:val="24"/>
          <w:lang w:val="uk-UA"/>
        </w:rPr>
        <w:t>.</w:t>
      </w:r>
    </w:p>
    <w:p w:rsidR="007027B6" w:rsidRPr="00343492" w:rsidRDefault="007027B6" w:rsidP="005758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3492">
        <w:rPr>
          <w:rFonts w:ascii="Times New Roman" w:hAnsi="Times New Roman"/>
          <w:sz w:val="24"/>
          <w:szCs w:val="24"/>
          <w:lang w:val="uk-UA"/>
        </w:rPr>
        <w:t xml:space="preserve">Ймовірність відмови </w:t>
      </w:r>
      <w:r w:rsidRPr="00343492">
        <w:rPr>
          <w:rFonts w:ascii="Times New Roman" w:hAnsi="Times New Roman"/>
          <w:position w:val="-10"/>
          <w:sz w:val="24"/>
          <w:szCs w:val="24"/>
          <w:lang w:val="uk-UA"/>
        </w:rPr>
        <w:object w:dxaOrig="420" w:dyaOrig="300">
          <v:shape id="_x0000_i1026" type="#_x0000_t75" style="width:21pt;height:15pt" o:ole="">
            <v:imagedata r:id="rId10" o:title=""/>
          </v:shape>
          <o:OLEObject Type="Embed" ProgID="Equation.DSMT4" ShapeID="_x0000_i1026" DrawAspect="Content" ObjectID="_1612594486" r:id="rId11"/>
        </w:object>
      </w:r>
      <w:r w:rsidRPr="00343492">
        <w:rPr>
          <w:rFonts w:ascii="Times New Roman" w:hAnsi="Times New Roman"/>
          <w:sz w:val="24"/>
          <w:szCs w:val="24"/>
          <w:lang w:val="uk-UA"/>
        </w:rPr>
        <w:t xml:space="preserve">- це ймовірність того,що час </w:t>
      </w:r>
      <w:r w:rsidRPr="00343492">
        <w:rPr>
          <w:rFonts w:ascii="Times New Roman" w:hAnsi="Times New Roman"/>
          <w:i/>
          <w:sz w:val="24"/>
          <w:szCs w:val="24"/>
          <w:lang w:val="uk-UA"/>
        </w:rPr>
        <w:t>Т</w:t>
      </w:r>
      <w:r w:rsidRPr="00343492">
        <w:rPr>
          <w:rFonts w:ascii="Times New Roman" w:hAnsi="Times New Roman"/>
          <w:sz w:val="24"/>
          <w:szCs w:val="24"/>
          <w:lang w:val="uk-UA"/>
        </w:rPr>
        <w:t xml:space="preserve"> бе</w:t>
      </w:r>
      <w:r w:rsidR="003106E8" w:rsidRPr="00343492">
        <w:rPr>
          <w:rFonts w:ascii="Times New Roman" w:hAnsi="Times New Roman"/>
          <w:sz w:val="24"/>
          <w:szCs w:val="24"/>
          <w:lang w:val="uk-UA"/>
        </w:rPr>
        <w:t>з</w:t>
      </w:r>
      <w:r w:rsidRPr="00343492">
        <w:rPr>
          <w:rFonts w:ascii="Times New Roman" w:hAnsi="Times New Roman"/>
          <w:sz w:val="24"/>
          <w:szCs w:val="24"/>
          <w:lang w:val="uk-UA"/>
        </w:rPr>
        <w:t>відмовної роботи елемента чи системи буде меншим від заданого часу</w:t>
      </w:r>
      <w:r w:rsidR="00B872DD" w:rsidRPr="00343492">
        <w:rPr>
          <w:rFonts w:ascii="Times New Roman" w:hAnsi="Times New Roman"/>
          <w:position w:val="-6"/>
          <w:sz w:val="24"/>
          <w:szCs w:val="24"/>
          <w:lang w:val="uk-UA"/>
        </w:rPr>
        <w:object w:dxaOrig="139" w:dyaOrig="220">
          <v:shape id="_x0000_i1027" type="#_x0000_t75" style="width:9pt;height:15pt" o:ole="">
            <v:imagedata r:id="rId8" o:title=""/>
          </v:shape>
          <o:OLEObject Type="Embed" ProgID="Equation.DSMT4" ShapeID="_x0000_i1027" DrawAspect="Content" ObjectID="_1612594487" r:id="rId12"/>
        </w:object>
      </w:r>
    </w:p>
    <w:p w:rsidR="007027B6" w:rsidRPr="00343492" w:rsidRDefault="007027B6" w:rsidP="005758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3492">
        <w:rPr>
          <w:rFonts w:ascii="Times New Roman" w:hAnsi="Times New Roman"/>
          <w:sz w:val="24"/>
          <w:szCs w:val="24"/>
          <w:lang w:val="uk-UA"/>
        </w:rPr>
        <w:t>Для порівня</w:t>
      </w:r>
      <w:r w:rsidR="0051707D" w:rsidRPr="00343492">
        <w:rPr>
          <w:rFonts w:ascii="Times New Roman" w:hAnsi="Times New Roman"/>
          <w:sz w:val="24"/>
          <w:szCs w:val="24"/>
          <w:lang w:val="uk-UA"/>
        </w:rPr>
        <w:t>ння</w:t>
      </w:r>
      <w:r w:rsidRPr="00343492">
        <w:rPr>
          <w:rFonts w:ascii="Times New Roman" w:hAnsi="Times New Roman"/>
          <w:sz w:val="24"/>
          <w:szCs w:val="24"/>
          <w:lang w:val="uk-UA"/>
        </w:rPr>
        <w:t xml:space="preserve"> надійності декількох </w:t>
      </w:r>
      <w:r w:rsidR="002847EB" w:rsidRPr="00343492">
        <w:rPr>
          <w:rFonts w:ascii="Times New Roman" w:hAnsi="Times New Roman"/>
          <w:sz w:val="24"/>
          <w:szCs w:val="24"/>
          <w:lang w:val="uk-UA"/>
        </w:rPr>
        <w:t>об</w:t>
      </w:r>
      <w:r w:rsidR="00B872DD" w:rsidRPr="00343492">
        <w:rPr>
          <w:rFonts w:ascii="Times New Roman" w:hAnsi="Times New Roman"/>
          <w:sz w:val="24"/>
          <w:szCs w:val="24"/>
          <w:lang w:val="uk-UA"/>
        </w:rPr>
        <w:t>’</w:t>
      </w:r>
      <w:r w:rsidR="002847EB" w:rsidRPr="00343492">
        <w:rPr>
          <w:rFonts w:ascii="Times New Roman" w:hAnsi="Times New Roman"/>
          <w:sz w:val="24"/>
          <w:szCs w:val="24"/>
          <w:lang w:val="uk-UA"/>
        </w:rPr>
        <w:t>єктів</w:t>
      </w:r>
      <w:r w:rsidRPr="00343492">
        <w:rPr>
          <w:rFonts w:ascii="Times New Roman" w:hAnsi="Times New Roman"/>
          <w:sz w:val="24"/>
          <w:szCs w:val="24"/>
          <w:lang w:val="uk-UA"/>
        </w:rPr>
        <w:t xml:space="preserve"> в один і той самий час використовують коефіцієнт збільшення ймовірності безвідмовної роботи, або відповідно коефіцієнт зменшення ймовірності відмов</w:t>
      </w:r>
      <w:r w:rsidR="00436337" w:rsidRPr="00343492">
        <w:rPr>
          <w:rFonts w:ascii="Times New Roman" w:hAnsi="Times New Roman"/>
          <w:position w:val="-6"/>
          <w:sz w:val="24"/>
          <w:szCs w:val="24"/>
          <w:lang w:val="uk-UA"/>
        </w:rPr>
        <w:object w:dxaOrig="139" w:dyaOrig="220">
          <v:shape id="_x0000_i1028" type="#_x0000_t75" style="width:9pt;height:15pt" o:ole="">
            <v:imagedata r:id="rId8" o:title=""/>
          </v:shape>
          <o:OLEObject Type="Embed" ProgID="Equation.DSMT4" ShapeID="_x0000_i1028" DrawAspect="Content" ObjectID="_1612594488" r:id="rId13"/>
        </w:object>
      </w:r>
      <w:r w:rsidRPr="00343492">
        <w:rPr>
          <w:rFonts w:ascii="Times New Roman" w:hAnsi="Times New Roman"/>
          <w:sz w:val="24"/>
          <w:szCs w:val="24"/>
          <w:lang w:val="uk-UA"/>
        </w:rPr>
        <w:t>.</w:t>
      </w:r>
    </w:p>
    <w:p w:rsidR="00E5513A" w:rsidRPr="00343492" w:rsidRDefault="00E5513A" w:rsidP="005758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3492">
        <w:rPr>
          <w:rFonts w:ascii="Times New Roman" w:hAnsi="Times New Roman"/>
          <w:sz w:val="24"/>
          <w:szCs w:val="24"/>
          <w:lang w:val="uk-UA"/>
        </w:rPr>
        <w:t>У випадку резервування електроживлення систем протипожежного захисту від двотрансформаторної підстанції, оберт має посл</w:t>
      </w:r>
      <w:r w:rsidR="007D386D" w:rsidRPr="00343492">
        <w:rPr>
          <w:rFonts w:ascii="Times New Roman" w:hAnsi="Times New Roman"/>
          <w:sz w:val="24"/>
          <w:szCs w:val="24"/>
          <w:lang w:val="uk-UA"/>
        </w:rPr>
        <w:t>ідовно-паралельну систему (рис.1</w:t>
      </w:r>
      <w:r w:rsidRPr="00343492">
        <w:rPr>
          <w:rFonts w:ascii="Times New Roman" w:hAnsi="Times New Roman"/>
          <w:sz w:val="24"/>
          <w:szCs w:val="24"/>
          <w:lang w:val="uk-UA"/>
        </w:rPr>
        <w:t>)</w:t>
      </w:r>
    </w:p>
    <w:p w:rsidR="00E5513A" w:rsidRPr="003E33B4" w:rsidRDefault="00E5513A" w:rsidP="005758E6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lang w:val="uk-UA"/>
        </w:rPr>
      </w:pPr>
    </w:p>
    <w:p w:rsidR="00E5513A" w:rsidRPr="003E33B4" w:rsidRDefault="00147D66" w:rsidP="002D12DE">
      <w:pPr>
        <w:spacing w:after="0" w:line="360" w:lineRule="auto"/>
        <w:ind w:firstLine="567"/>
        <w:jc w:val="center"/>
        <w:rPr>
          <w:color w:val="FF0000"/>
          <w:lang w:val="uk-UA"/>
        </w:rPr>
      </w:pPr>
      <w:r w:rsidRPr="003E33B4">
        <w:rPr>
          <w:color w:val="FF0000"/>
        </w:rPr>
        <w:object w:dxaOrig="3380" w:dyaOrig="1888">
          <v:shape id="_x0000_i1029" type="#_x0000_t75" style="width:131.25pt;height:73.5pt" o:ole="">
            <v:imagedata r:id="rId14" o:title=""/>
          </v:shape>
          <o:OLEObject Type="Embed" ProgID="Visio.Drawing.11" ShapeID="_x0000_i1029" DrawAspect="Content" ObjectID="_1612594489" r:id="rId15"/>
        </w:object>
      </w:r>
      <w:r w:rsidRPr="003E33B4">
        <w:rPr>
          <w:color w:val="FF0000"/>
        </w:rPr>
        <w:object w:dxaOrig="3051" w:dyaOrig="1532">
          <v:shape id="_x0000_i1030" type="#_x0000_t75" style="width:129pt;height:65.25pt" o:ole="">
            <v:imagedata r:id="rId16" o:title=""/>
          </v:shape>
          <o:OLEObject Type="Embed" ProgID="Visio.Drawing.11" ShapeID="_x0000_i1030" DrawAspect="Content" ObjectID="_1612594490" r:id="rId17"/>
        </w:object>
      </w:r>
    </w:p>
    <w:p w:rsidR="007D64FE" w:rsidRPr="00343492" w:rsidRDefault="007D64FE" w:rsidP="007D64FE">
      <w:pPr>
        <w:spacing w:after="0" w:line="360" w:lineRule="auto"/>
        <w:jc w:val="center"/>
        <w:rPr>
          <w:rFonts w:ascii="Times New Roman" w:hAnsi="Times New Roman"/>
          <w:lang w:val="uk-UA"/>
        </w:rPr>
      </w:pPr>
      <w:r w:rsidRPr="00343492">
        <w:rPr>
          <w:rFonts w:ascii="Times New Roman" w:hAnsi="Times New Roman"/>
          <w:lang w:val="uk-UA"/>
        </w:rPr>
        <w:t>а                                                         б</w:t>
      </w:r>
    </w:p>
    <w:p w:rsidR="007D64FE" w:rsidRPr="00343492" w:rsidRDefault="007D64FE" w:rsidP="007D64FE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343492">
        <w:rPr>
          <w:rFonts w:ascii="Times New Roman" w:hAnsi="Times New Roman"/>
          <w:b/>
          <w:i/>
          <w:sz w:val="24"/>
          <w:szCs w:val="24"/>
          <w:lang w:val="uk-UA"/>
        </w:rPr>
        <w:t xml:space="preserve">Рисунок </w:t>
      </w:r>
      <w:r w:rsidR="007D386D" w:rsidRPr="00343492"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Pr="00343492">
        <w:rPr>
          <w:rFonts w:ascii="Times New Roman" w:hAnsi="Times New Roman"/>
          <w:sz w:val="24"/>
          <w:szCs w:val="24"/>
          <w:lang w:val="uk-UA"/>
        </w:rPr>
        <w:t>–</w:t>
      </w:r>
      <w:r w:rsidRPr="00343492">
        <w:rPr>
          <w:rFonts w:ascii="Times New Roman" w:hAnsi="Times New Roman"/>
          <w:i/>
          <w:sz w:val="24"/>
          <w:szCs w:val="24"/>
          <w:lang w:val="uk-UA"/>
        </w:rPr>
        <w:t xml:space="preserve"> Схема резервування електроживлення: а – заступний вид резервування; </w:t>
      </w:r>
    </w:p>
    <w:p w:rsidR="007D64FE" w:rsidRPr="00343492" w:rsidRDefault="007D64FE" w:rsidP="007D64FE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343492">
        <w:rPr>
          <w:rFonts w:ascii="Times New Roman" w:hAnsi="Times New Roman"/>
          <w:i/>
          <w:sz w:val="24"/>
          <w:szCs w:val="24"/>
          <w:lang w:val="uk-UA"/>
        </w:rPr>
        <w:t>б – логічна схема з’єднань</w:t>
      </w:r>
    </w:p>
    <w:p w:rsidR="00343492" w:rsidRPr="00D22294" w:rsidRDefault="00343492" w:rsidP="007D386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3723" w:rsidRPr="00343492" w:rsidRDefault="007D64FE" w:rsidP="007D386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3492">
        <w:rPr>
          <w:rFonts w:ascii="Times New Roman" w:hAnsi="Times New Roman"/>
          <w:sz w:val="24"/>
          <w:szCs w:val="24"/>
          <w:lang w:val="uk-UA"/>
        </w:rPr>
        <w:t xml:space="preserve">У вказаному способі резервування </w:t>
      </w:r>
      <w:r w:rsidR="002D12DE" w:rsidRPr="00343492">
        <w:rPr>
          <w:rFonts w:ascii="Times New Roman" w:hAnsi="Times New Roman"/>
          <w:sz w:val="24"/>
          <w:szCs w:val="24"/>
          <w:lang w:val="uk-UA"/>
        </w:rPr>
        <w:t>основного джерела живлення (ОДЖ)</w:t>
      </w:r>
      <w:r w:rsidRPr="00343492">
        <w:rPr>
          <w:rFonts w:ascii="Times New Roman" w:hAnsi="Times New Roman"/>
          <w:sz w:val="24"/>
          <w:szCs w:val="24"/>
          <w:lang w:val="uk-UA"/>
        </w:rPr>
        <w:t xml:space="preserve"> на резервне (РДЖ) відбувається шляхом переключення з першого на друге за перемикача П (АВР).</w:t>
      </w:r>
    </w:p>
    <w:p w:rsidR="00996808" w:rsidRPr="00343492" w:rsidRDefault="005A5A6D" w:rsidP="007D386D">
      <w:pPr>
        <w:spacing w:after="0" w:line="360" w:lineRule="auto"/>
        <w:ind w:firstLine="567"/>
        <w:jc w:val="both"/>
        <w:rPr>
          <w:rFonts w:ascii="Times New Roman" w:hAnsi="Times New Roman"/>
          <w:lang w:val="uk-UA"/>
        </w:rPr>
      </w:pPr>
      <w:r w:rsidRPr="00343492">
        <w:rPr>
          <w:rFonts w:ascii="Times New Roman" w:hAnsi="Times New Roman"/>
          <w:sz w:val="24"/>
          <w:szCs w:val="24"/>
          <w:lang w:val="uk-UA"/>
        </w:rPr>
        <w:t>При умові, що електроживлення системи протипожежного захисту буде резервуватись від незалежного автономного джерела з акумуляторними батареями та інверторами напруги, об’єкт буде мати складну послідовно-паралельну структуру.</w:t>
      </w:r>
      <w:r w:rsidR="00327763" w:rsidRPr="00343492">
        <w:rPr>
          <w:rFonts w:ascii="Times New Roman" w:hAnsi="Times New Roman"/>
          <w:sz w:val="24"/>
          <w:szCs w:val="24"/>
          <w:lang w:val="uk-UA"/>
        </w:rPr>
        <w:t xml:space="preserve"> Логічні схеми з’єднань </w:t>
      </w:r>
      <w:r w:rsidR="00327763" w:rsidRPr="00343492">
        <w:rPr>
          <w:rFonts w:ascii="Times New Roman" w:hAnsi="Times New Roman"/>
          <w:sz w:val="24"/>
          <w:szCs w:val="24"/>
          <w:lang w:val="uk-UA"/>
        </w:rPr>
        <w:lastRenderedPageBreak/>
        <w:t>елементів автономного</w:t>
      </w:r>
      <w:r w:rsidR="00327763" w:rsidRPr="00343492">
        <w:rPr>
          <w:rFonts w:ascii="Times New Roman" w:hAnsi="Times New Roman"/>
          <w:lang w:val="uk-UA"/>
        </w:rPr>
        <w:t xml:space="preserve"> резервного живлення з двома інверторами напруги </w:t>
      </w:r>
      <w:r w:rsidR="00327763" w:rsidRPr="00343492">
        <w:rPr>
          <w:rFonts w:ascii="Times New Roman" w:hAnsi="Times New Roman"/>
          <w:i/>
          <w:lang w:val="uk-UA"/>
        </w:rPr>
        <w:t xml:space="preserve">(К2АІН-АД) </w:t>
      </w:r>
      <w:r w:rsidR="00327763" w:rsidRPr="00343492">
        <w:rPr>
          <w:rFonts w:ascii="Times New Roman" w:hAnsi="Times New Roman"/>
          <w:lang w:val="uk-UA"/>
        </w:rPr>
        <w:t>та з чотирма інверторами напруги (</w:t>
      </w:r>
      <w:r w:rsidR="00327763" w:rsidRPr="00343492">
        <w:rPr>
          <w:rFonts w:ascii="Times New Roman" w:hAnsi="Times New Roman"/>
          <w:i/>
          <w:lang w:val="uk-UA"/>
        </w:rPr>
        <w:t>2К2АІН-АД)</w:t>
      </w:r>
      <w:r w:rsidR="00327763" w:rsidRPr="00343492">
        <w:rPr>
          <w:rFonts w:ascii="Times New Roman" w:hAnsi="Times New Roman"/>
          <w:lang w:val="uk-UA"/>
        </w:rPr>
        <w:t xml:space="preserve"> показано відповідно на рис.</w:t>
      </w:r>
      <w:r w:rsidR="007D386D" w:rsidRPr="00343492">
        <w:rPr>
          <w:rFonts w:ascii="Times New Roman" w:hAnsi="Times New Roman"/>
        </w:rPr>
        <w:t>2</w:t>
      </w:r>
      <w:r w:rsidR="00327763" w:rsidRPr="00343492">
        <w:rPr>
          <w:rFonts w:ascii="Times New Roman" w:hAnsi="Times New Roman"/>
          <w:lang w:val="uk-UA"/>
        </w:rPr>
        <w:t xml:space="preserve"> і рис.</w:t>
      </w:r>
      <w:r w:rsidR="007D386D" w:rsidRPr="00343492">
        <w:rPr>
          <w:rFonts w:ascii="Times New Roman" w:hAnsi="Times New Roman"/>
          <w:lang w:val="uk-UA"/>
        </w:rPr>
        <w:t>3</w:t>
      </w:r>
    </w:p>
    <w:p w:rsidR="00327763" w:rsidRPr="003E33B4" w:rsidRDefault="00327763" w:rsidP="005758E6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lang w:val="uk-UA"/>
        </w:rPr>
      </w:pPr>
    </w:p>
    <w:p w:rsidR="00327763" w:rsidRPr="003E33B4" w:rsidRDefault="00147D66" w:rsidP="00327763">
      <w:pPr>
        <w:spacing w:after="0" w:line="360" w:lineRule="auto"/>
        <w:ind w:firstLine="567"/>
        <w:jc w:val="center"/>
        <w:rPr>
          <w:rFonts w:ascii="Times New Roman" w:hAnsi="Times New Roman"/>
          <w:color w:val="FF0000"/>
          <w:lang w:val="uk-UA"/>
        </w:rPr>
      </w:pPr>
      <w:r w:rsidRPr="003E33B4">
        <w:rPr>
          <w:color w:val="FF0000"/>
        </w:rPr>
        <w:object w:dxaOrig="6523" w:dyaOrig="1995">
          <v:shape id="_x0000_i1031" type="#_x0000_t75" style="width:217.5pt;height:66.75pt" o:ole="">
            <v:imagedata r:id="rId18" o:title=""/>
          </v:shape>
          <o:OLEObject Type="Embed" ProgID="Visio.Drawing.11" ShapeID="_x0000_i1031" DrawAspect="Content" ObjectID="_1612594491" r:id="rId19"/>
        </w:object>
      </w:r>
    </w:p>
    <w:p w:rsidR="00996808" w:rsidRPr="00343492" w:rsidRDefault="00327763" w:rsidP="00327763">
      <w:pPr>
        <w:spacing w:after="0" w:line="360" w:lineRule="auto"/>
        <w:ind w:firstLine="567"/>
        <w:jc w:val="center"/>
        <w:rPr>
          <w:rFonts w:ascii="Times New Roman" w:hAnsi="Times New Roman"/>
          <w:i/>
          <w:lang w:val="uk-UA"/>
        </w:rPr>
      </w:pPr>
      <w:r w:rsidRPr="00343492">
        <w:rPr>
          <w:rFonts w:ascii="Times New Roman" w:hAnsi="Times New Roman"/>
          <w:b/>
          <w:i/>
          <w:lang w:val="uk-UA"/>
        </w:rPr>
        <w:t xml:space="preserve">Рисунок </w:t>
      </w:r>
      <w:r w:rsidR="007D386D" w:rsidRPr="00343492">
        <w:rPr>
          <w:rFonts w:ascii="Times New Roman" w:hAnsi="Times New Roman"/>
          <w:b/>
          <w:i/>
          <w:lang w:val="uk-UA"/>
        </w:rPr>
        <w:t>2</w:t>
      </w:r>
      <w:r w:rsidRPr="00343492">
        <w:rPr>
          <w:rFonts w:ascii="Times New Roman" w:hAnsi="Times New Roman"/>
          <w:lang w:val="uk-UA"/>
        </w:rPr>
        <w:t>–</w:t>
      </w:r>
      <w:r w:rsidRPr="00343492">
        <w:rPr>
          <w:rFonts w:ascii="Times New Roman" w:hAnsi="Times New Roman"/>
          <w:i/>
          <w:lang w:val="uk-UA"/>
        </w:rPr>
        <w:t xml:space="preserve"> Логічна схема з’єднань К2АІН-АД</w:t>
      </w:r>
    </w:p>
    <w:p w:rsidR="00327763" w:rsidRPr="003E33B4" w:rsidRDefault="00147D66" w:rsidP="00327763">
      <w:pPr>
        <w:spacing w:after="0" w:line="360" w:lineRule="auto"/>
        <w:ind w:firstLine="567"/>
        <w:jc w:val="center"/>
        <w:rPr>
          <w:rFonts w:ascii="Times New Roman" w:hAnsi="Times New Roman"/>
          <w:color w:val="FF0000"/>
          <w:lang w:val="uk-UA"/>
        </w:rPr>
      </w:pPr>
      <w:r w:rsidRPr="003E33B4">
        <w:rPr>
          <w:color w:val="FF0000"/>
        </w:rPr>
        <w:object w:dxaOrig="7276" w:dyaOrig="3200">
          <v:shape id="_x0000_i1032" type="#_x0000_t75" style="width:252pt;height:110.25pt" o:ole="">
            <v:imagedata r:id="rId20" o:title=""/>
          </v:shape>
          <o:OLEObject Type="Embed" ProgID="Visio.Drawing.11" ShapeID="_x0000_i1032" DrawAspect="Content" ObjectID="_1612594492" r:id="rId21"/>
        </w:object>
      </w:r>
    </w:p>
    <w:p w:rsidR="000B71EE" w:rsidRPr="00343492" w:rsidRDefault="000B71EE" w:rsidP="000B71EE">
      <w:pPr>
        <w:spacing w:after="0" w:line="360" w:lineRule="auto"/>
        <w:ind w:firstLine="567"/>
        <w:jc w:val="center"/>
        <w:rPr>
          <w:rFonts w:ascii="Times New Roman" w:hAnsi="Times New Roman"/>
          <w:i/>
          <w:lang w:val="uk-UA"/>
        </w:rPr>
      </w:pPr>
      <w:r w:rsidRPr="00343492">
        <w:rPr>
          <w:rFonts w:ascii="Times New Roman" w:hAnsi="Times New Roman"/>
          <w:b/>
          <w:i/>
          <w:lang w:val="uk-UA"/>
        </w:rPr>
        <w:t xml:space="preserve">Рисунок </w:t>
      </w:r>
      <w:r w:rsidR="007D386D" w:rsidRPr="00343492">
        <w:rPr>
          <w:rFonts w:ascii="Times New Roman" w:hAnsi="Times New Roman"/>
          <w:b/>
          <w:i/>
          <w:lang w:val="uk-UA"/>
        </w:rPr>
        <w:t>3</w:t>
      </w:r>
      <w:r w:rsidRPr="00343492">
        <w:rPr>
          <w:rFonts w:ascii="Times New Roman" w:hAnsi="Times New Roman"/>
          <w:lang w:val="uk-UA"/>
        </w:rPr>
        <w:t>–</w:t>
      </w:r>
      <w:r w:rsidRPr="00343492">
        <w:rPr>
          <w:rFonts w:ascii="Times New Roman" w:hAnsi="Times New Roman"/>
          <w:i/>
          <w:lang w:val="uk-UA"/>
        </w:rPr>
        <w:t xml:space="preserve"> Логічна схема з’єднань 2К2АІН-АД</w:t>
      </w:r>
    </w:p>
    <w:p w:rsidR="003E33B4" w:rsidRPr="00147D66" w:rsidRDefault="002750C9" w:rsidP="003E33B4">
      <w:pPr>
        <w:spacing w:after="0" w:line="360" w:lineRule="auto"/>
        <w:ind w:firstLine="567"/>
        <w:jc w:val="both"/>
        <w:rPr>
          <w:rFonts w:ascii="Times New Roman" w:hAnsi="Times New Roman"/>
          <w:lang w:val="uk-UA"/>
        </w:rPr>
      </w:pPr>
      <w:r w:rsidRPr="00147D66">
        <w:rPr>
          <w:rFonts w:ascii="Times New Roman" w:hAnsi="Times New Roman"/>
          <w:lang w:val="uk-UA"/>
        </w:rPr>
        <w:t>Враховуючи той факт, що при відмові будь якого елемента резервного джерела живлення воно не буде формувати напругу з необхідними параметрами, тому можна вважати, що у такому випадку резервне джерело не буде виконувати свої функції, тому з’єднання елементів резервного джерела електроживлення систем протипожежного захисту, можна розглядати як послідовне.</w:t>
      </w:r>
    </w:p>
    <w:p w:rsidR="00DE22EF" w:rsidRPr="00147D66" w:rsidRDefault="00FD13BA" w:rsidP="003E33B4">
      <w:pPr>
        <w:spacing w:after="0" w:line="360" w:lineRule="auto"/>
        <w:ind w:firstLine="567"/>
        <w:jc w:val="both"/>
        <w:rPr>
          <w:rFonts w:ascii="Times New Roman" w:hAnsi="Times New Roman"/>
          <w:lang w:val="uk-UA"/>
        </w:rPr>
      </w:pPr>
      <w:bookmarkStart w:id="0" w:name="_GoBack"/>
      <w:bookmarkEnd w:id="0"/>
      <w:r w:rsidRPr="00147D66">
        <w:rPr>
          <w:rFonts w:ascii="Times New Roman" w:hAnsi="Times New Roman"/>
          <w:lang w:val="uk-UA"/>
        </w:rPr>
        <w:t>Залежності ймовірн</w:t>
      </w:r>
      <w:r w:rsidR="00B872DD" w:rsidRPr="00147D66">
        <w:rPr>
          <w:rFonts w:ascii="Times New Roman" w:hAnsi="Times New Roman"/>
          <w:lang w:val="uk-UA"/>
        </w:rPr>
        <w:t>о</w:t>
      </w:r>
      <w:r w:rsidRPr="00147D66">
        <w:rPr>
          <w:rFonts w:ascii="Times New Roman" w:hAnsi="Times New Roman"/>
          <w:lang w:val="uk-UA"/>
        </w:rPr>
        <w:t>ст</w:t>
      </w:r>
      <w:r w:rsidR="004032D5" w:rsidRPr="00147D66">
        <w:rPr>
          <w:rFonts w:ascii="Times New Roman" w:hAnsi="Times New Roman"/>
          <w:lang w:val="uk-UA"/>
        </w:rPr>
        <w:t>ей</w:t>
      </w:r>
      <w:r w:rsidRPr="00147D66">
        <w:rPr>
          <w:rFonts w:ascii="Times New Roman" w:hAnsi="Times New Roman"/>
          <w:lang w:val="uk-UA"/>
        </w:rPr>
        <w:t xml:space="preserve"> безвідмовної роботи</w:t>
      </w:r>
      <w:r w:rsidR="00B83FFC" w:rsidRPr="00147D66">
        <w:rPr>
          <w:rFonts w:ascii="Times New Roman" w:hAnsi="Times New Roman"/>
          <w:position w:val="-10"/>
          <w:lang w:val="uk-UA"/>
        </w:rPr>
        <w:object w:dxaOrig="580" w:dyaOrig="300">
          <v:shape id="_x0000_i1033" type="#_x0000_t75" style="width:29.25pt;height:15pt" o:ole="">
            <v:imagedata r:id="rId22" o:title=""/>
          </v:shape>
          <o:OLEObject Type="Embed" ProgID="Equation.DSMT4" ShapeID="_x0000_i1033" DrawAspect="Content" ObjectID="_1612594493" r:id="rId23"/>
        </w:object>
      </w:r>
      <w:r w:rsidR="004032D5" w:rsidRPr="00147D66">
        <w:rPr>
          <w:rFonts w:ascii="Times New Roman" w:hAnsi="Times New Roman"/>
          <w:lang w:val="uk-UA"/>
        </w:rPr>
        <w:t xml:space="preserve"> електроживлення </w:t>
      </w:r>
      <w:r w:rsidRPr="00147D66">
        <w:rPr>
          <w:rFonts w:ascii="Times New Roman" w:hAnsi="Times New Roman"/>
          <w:lang w:val="uk-UA"/>
        </w:rPr>
        <w:t xml:space="preserve">системи  і резервованої </w:t>
      </w:r>
      <w:r w:rsidR="004032D5" w:rsidRPr="00147D66">
        <w:rPr>
          <w:rFonts w:ascii="Times New Roman" w:hAnsi="Times New Roman"/>
          <w:lang w:val="uk-UA"/>
        </w:rPr>
        <w:t xml:space="preserve">системи </w:t>
      </w:r>
      <w:r w:rsidR="00FB0A8C" w:rsidRPr="00147D66">
        <w:rPr>
          <w:rFonts w:ascii="Times New Roman" w:hAnsi="Times New Roman"/>
          <w:lang w:val="uk-UA"/>
        </w:rPr>
        <w:t>Р2(</w:t>
      </w:r>
      <w:r w:rsidR="00FB0A8C" w:rsidRPr="00147D66">
        <w:rPr>
          <w:rFonts w:ascii="Times New Roman" w:hAnsi="Times New Roman"/>
          <w:lang w:val="en-US"/>
        </w:rPr>
        <w:t>t</w:t>
      </w:r>
      <w:r w:rsidR="00FB0A8C" w:rsidRPr="00147D66">
        <w:rPr>
          <w:rFonts w:ascii="Times New Roman" w:hAnsi="Times New Roman"/>
          <w:lang w:val="uk-UA"/>
        </w:rPr>
        <w:t>)</w:t>
      </w:r>
      <w:r w:rsidR="00B83FFC" w:rsidRPr="00147D66">
        <w:rPr>
          <w:rFonts w:ascii="Times New Roman" w:hAnsi="Times New Roman"/>
          <w:lang w:val="uk-UA"/>
        </w:rPr>
        <w:t xml:space="preserve">, </w:t>
      </w:r>
      <w:r w:rsidR="00FB0A8C" w:rsidRPr="00147D66">
        <w:rPr>
          <w:rFonts w:ascii="Times New Roman" w:hAnsi="Times New Roman"/>
          <w:lang w:val="uk-UA"/>
        </w:rPr>
        <w:t>Р</w:t>
      </w:r>
      <w:r w:rsidR="00FB0A8C" w:rsidRPr="00147D66">
        <w:rPr>
          <w:rFonts w:ascii="Times New Roman" w:hAnsi="Times New Roman"/>
        </w:rPr>
        <w:t>3</w:t>
      </w:r>
      <w:r w:rsidR="00FB0A8C" w:rsidRPr="00147D66">
        <w:rPr>
          <w:rFonts w:ascii="Times New Roman" w:hAnsi="Times New Roman"/>
          <w:lang w:val="uk-UA"/>
        </w:rPr>
        <w:t>(</w:t>
      </w:r>
      <w:r w:rsidR="00FB0A8C" w:rsidRPr="00147D66">
        <w:rPr>
          <w:rFonts w:ascii="Times New Roman" w:hAnsi="Times New Roman"/>
          <w:lang w:val="en-US"/>
        </w:rPr>
        <w:t>t</w:t>
      </w:r>
      <w:r w:rsidR="00FB0A8C" w:rsidRPr="00147D66">
        <w:rPr>
          <w:rFonts w:ascii="Times New Roman" w:hAnsi="Times New Roman"/>
          <w:lang w:val="uk-UA"/>
        </w:rPr>
        <w:t>)</w:t>
      </w:r>
      <w:r w:rsidR="00147D66" w:rsidRPr="00147D66">
        <w:rPr>
          <w:rFonts w:ascii="Times New Roman" w:hAnsi="Times New Roman"/>
        </w:rPr>
        <w:t xml:space="preserve"> </w:t>
      </w:r>
      <w:r w:rsidRPr="00147D66">
        <w:rPr>
          <w:rFonts w:ascii="Times New Roman" w:hAnsi="Times New Roman"/>
          <w:lang w:val="uk-UA"/>
        </w:rPr>
        <w:t xml:space="preserve">наведені на рис. </w:t>
      </w:r>
      <w:r w:rsidR="003E33B4" w:rsidRPr="00147D66">
        <w:rPr>
          <w:rFonts w:ascii="Times New Roman" w:hAnsi="Times New Roman"/>
        </w:rPr>
        <w:t>4</w:t>
      </w:r>
      <w:r w:rsidRPr="00147D66">
        <w:rPr>
          <w:rFonts w:ascii="Times New Roman" w:hAnsi="Times New Roman"/>
          <w:lang w:val="uk-UA"/>
        </w:rPr>
        <w:t xml:space="preserve">. </w:t>
      </w:r>
    </w:p>
    <w:p w:rsidR="00FB0A8C" w:rsidRPr="003E33B4" w:rsidRDefault="00B02A14" w:rsidP="002D12DE">
      <w:pPr>
        <w:spacing w:after="0" w:line="360" w:lineRule="auto"/>
        <w:ind w:firstLine="540"/>
        <w:jc w:val="center"/>
        <w:rPr>
          <w:rFonts w:ascii="Times New Roman" w:hAnsi="Times New Roman"/>
          <w:color w:val="FF0000"/>
          <w:lang w:val="en-US"/>
        </w:rPr>
      </w:pPr>
      <w:r w:rsidRPr="003E33B4">
        <w:rPr>
          <w:color w:val="FF0000"/>
        </w:rPr>
        <w:object w:dxaOrig="3758" w:dyaOrig="2413">
          <v:shape id="_x0000_i1034" type="#_x0000_t75" style="width:232.5pt;height:149.25pt" o:ole="">
            <v:imagedata r:id="rId24" o:title=""/>
          </v:shape>
          <o:OLEObject Type="Embed" ProgID="Visio.Drawing.11" ShapeID="_x0000_i1034" DrawAspect="Content" ObjectID="_1612594494" r:id="rId25"/>
        </w:object>
      </w:r>
    </w:p>
    <w:p w:rsidR="0081393E" w:rsidRPr="00147D66" w:rsidRDefault="0015085F" w:rsidP="00B02A14">
      <w:pPr>
        <w:spacing w:after="0"/>
        <w:ind w:firstLine="708"/>
        <w:jc w:val="center"/>
        <w:rPr>
          <w:rFonts w:ascii="Times New Roman" w:hAnsi="Times New Roman"/>
          <w:i/>
          <w:lang w:val="uk-UA"/>
        </w:rPr>
      </w:pPr>
      <w:r w:rsidRPr="00147D66">
        <w:rPr>
          <w:rFonts w:ascii="Times New Roman" w:hAnsi="Times New Roman"/>
          <w:b/>
          <w:i/>
          <w:lang w:val="uk-UA"/>
        </w:rPr>
        <w:t xml:space="preserve">Рисунок </w:t>
      </w:r>
      <w:r w:rsidR="002E1732" w:rsidRPr="00147D66">
        <w:rPr>
          <w:rFonts w:ascii="Times New Roman" w:hAnsi="Times New Roman"/>
          <w:b/>
          <w:i/>
          <w:lang w:val="uk-UA"/>
        </w:rPr>
        <w:t>6</w:t>
      </w:r>
      <w:r w:rsidRPr="00147D66">
        <w:rPr>
          <w:rFonts w:ascii="Times New Roman" w:hAnsi="Times New Roman"/>
          <w:lang w:val="uk-UA"/>
        </w:rPr>
        <w:t xml:space="preserve">– </w:t>
      </w:r>
      <w:r w:rsidR="0081393E" w:rsidRPr="00147D66">
        <w:rPr>
          <w:rFonts w:ascii="Times New Roman" w:hAnsi="Times New Roman"/>
          <w:i/>
          <w:lang w:val="uk-UA"/>
        </w:rPr>
        <w:t>Залежність ймовірності безвідмовної роботи систем електроживлення: Р1- основної (Р</w:t>
      </w:r>
      <w:r w:rsidR="0081393E" w:rsidRPr="00147D66">
        <w:rPr>
          <w:rFonts w:ascii="Times New Roman" w:hAnsi="Times New Roman"/>
          <w:i/>
          <w:vertAlign w:val="subscript"/>
          <w:lang w:val="uk-UA"/>
        </w:rPr>
        <w:t>ос</w:t>
      </w:r>
      <w:r w:rsidR="0081393E" w:rsidRPr="00147D66">
        <w:rPr>
          <w:rFonts w:ascii="Times New Roman" w:hAnsi="Times New Roman"/>
          <w:i/>
          <w:lang w:val="uk-UA"/>
        </w:rPr>
        <w:t xml:space="preserve">), Р2- резервованої системи з </w:t>
      </w:r>
      <w:r w:rsidR="002D12DE" w:rsidRPr="00147D66">
        <w:rPr>
          <w:rFonts w:ascii="Times New Roman" w:hAnsi="Times New Roman"/>
          <w:i/>
          <w:lang w:val="uk-UA"/>
        </w:rPr>
        <w:t>К2АІН-АД</w:t>
      </w:r>
      <w:r w:rsidR="0081393E" w:rsidRPr="00147D66">
        <w:rPr>
          <w:rFonts w:ascii="Times New Roman" w:hAnsi="Times New Roman"/>
          <w:i/>
          <w:lang w:val="uk-UA"/>
        </w:rPr>
        <w:t>, Р3 - резервованої системи з</w:t>
      </w:r>
      <w:r w:rsidR="002D12DE" w:rsidRPr="00147D66">
        <w:rPr>
          <w:rFonts w:ascii="Times New Roman" w:hAnsi="Times New Roman"/>
          <w:i/>
          <w:lang w:val="uk-UA"/>
        </w:rPr>
        <w:t>2К2АІН-АД</w:t>
      </w:r>
    </w:p>
    <w:p w:rsidR="00C9542C" w:rsidRPr="003E33B4" w:rsidRDefault="00C9542C" w:rsidP="005758E6">
      <w:pPr>
        <w:spacing w:after="0" w:line="360" w:lineRule="auto"/>
        <w:ind w:firstLine="540"/>
        <w:jc w:val="both"/>
        <w:rPr>
          <w:rFonts w:ascii="Times New Roman" w:hAnsi="Times New Roman"/>
          <w:color w:val="FF0000"/>
          <w:lang w:val="uk-UA"/>
        </w:rPr>
      </w:pPr>
    </w:p>
    <w:p w:rsidR="00147D66" w:rsidRPr="00496E8A" w:rsidRDefault="00147D66" w:rsidP="00147D66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</w:t>
      </w:r>
      <w:r w:rsidRPr="00496E8A">
        <w:rPr>
          <w:rFonts w:ascii="Times New Roman" w:hAnsi="Times New Roman"/>
          <w:b/>
          <w:sz w:val="24"/>
          <w:szCs w:val="24"/>
        </w:rPr>
        <w:t>ІТЕРАТУР</w:t>
      </w:r>
      <w:r w:rsidRPr="00496E8A">
        <w:rPr>
          <w:rFonts w:ascii="Times New Roman" w:hAnsi="Times New Roman"/>
          <w:b/>
          <w:sz w:val="24"/>
          <w:szCs w:val="24"/>
          <w:lang w:val="uk-UA"/>
        </w:rPr>
        <w:t>А</w:t>
      </w:r>
    </w:p>
    <w:p w:rsidR="00147D66" w:rsidRPr="00496E8A" w:rsidRDefault="00147D66" w:rsidP="00147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496E8A">
        <w:rPr>
          <w:rFonts w:ascii="Times New Roman" w:hAnsi="Times New Roman"/>
          <w:sz w:val="24"/>
          <w:szCs w:val="24"/>
          <w:lang w:val="uk-UA"/>
        </w:rPr>
        <w:t>. Боднар Г. Й., Шаповалов О. В. Розробка автономного джерела живлення для протипожежних систем внутрішнього водопостачання / Збірник наукових праць «Пожежна безпека», №20.- 2012. С.180-186.</w:t>
      </w:r>
    </w:p>
    <w:p w:rsidR="00147D66" w:rsidRPr="00496E8A" w:rsidRDefault="00147D66" w:rsidP="00147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496E8A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96E8A">
        <w:rPr>
          <w:rFonts w:ascii="Times New Roman" w:hAnsi="Times New Roman"/>
          <w:sz w:val="24"/>
          <w:szCs w:val="24"/>
        </w:rPr>
        <w:t>Надежность электрорадиоизделий</w:t>
      </w:r>
      <w:r w:rsidRPr="00496E8A">
        <w:rPr>
          <w:rFonts w:ascii="Times New Roman" w:hAnsi="Times New Roman"/>
          <w:sz w:val="24"/>
          <w:szCs w:val="24"/>
          <w:lang w:val="uk-UA"/>
        </w:rPr>
        <w:t xml:space="preserve"> 2006: Справочник –www.kazus.ru/attachment.php?a</w:t>
      </w:r>
      <w:r w:rsidRPr="00496E8A">
        <w:rPr>
          <w:rFonts w:ascii="Times New Roman" w:hAnsi="Times New Roman"/>
          <w:sz w:val="24"/>
          <w:szCs w:val="24"/>
          <w:lang w:val="en-US"/>
        </w:rPr>
        <w:t>ttachmentid</w:t>
      </w:r>
      <w:r w:rsidRPr="00496E8A">
        <w:rPr>
          <w:rFonts w:ascii="Times New Roman" w:hAnsi="Times New Roman"/>
          <w:sz w:val="24"/>
          <w:szCs w:val="24"/>
        </w:rPr>
        <w:t>=9706&amp;</w:t>
      </w:r>
      <w:r w:rsidRPr="00496E8A">
        <w:rPr>
          <w:rFonts w:ascii="Times New Roman" w:hAnsi="Times New Roman"/>
          <w:sz w:val="24"/>
          <w:szCs w:val="24"/>
          <w:lang w:val="en-US"/>
        </w:rPr>
        <w:t>d</w:t>
      </w:r>
      <w:r w:rsidRPr="00496E8A">
        <w:rPr>
          <w:rFonts w:ascii="Times New Roman" w:hAnsi="Times New Roman"/>
          <w:sz w:val="24"/>
          <w:szCs w:val="24"/>
        </w:rPr>
        <w:t>…</w:t>
      </w:r>
    </w:p>
    <w:p w:rsidR="007F4493" w:rsidRPr="00343492" w:rsidRDefault="00147D66" w:rsidP="00147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496E8A">
        <w:rPr>
          <w:rFonts w:ascii="Times New Roman" w:hAnsi="Times New Roman"/>
          <w:sz w:val="24"/>
          <w:szCs w:val="24"/>
        </w:rPr>
        <w:t>. Справочник по проектированию  электроэнергетических систем / Под ред. С.</w:t>
      </w:r>
      <w:r w:rsidRPr="00496E8A">
        <w:rPr>
          <w:rFonts w:ascii="Times New Roman" w:hAnsi="Times New Roman"/>
          <w:sz w:val="24"/>
          <w:szCs w:val="24"/>
          <w:lang w:val="uk-UA"/>
        </w:rPr>
        <w:t> </w:t>
      </w:r>
      <w:r w:rsidRPr="00496E8A">
        <w:rPr>
          <w:rFonts w:ascii="Times New Roman" w:hAnsi="Times New Roman"/>
          <w:sz w:val="24"/>
          <w:szCs w:val="24"/>
        </w:rPr>
        <w:t>С.</w:t>
      </w:r>
      <w:r w:rsidRPr="00496E8A">
        <w:rPr>
          <w:rFonts w:ascii="Times New Roman" w:hAnsi="Times New Roman"/>
          <w:sz w:val="24"/>
          <w:szCs w:val="24"/>
          <w:lang w:val="uk-UA"/>
        </w:rPr>
        <w:t> </w:t>
      </w:r>
      <w:r w:rsidRPr="00496E8A">
        <w:rPr>
          <w:rFonts w:ascii="Times New Roman" w:hAnsi="Times New Roman"/>
          <w:sz w:val="24"/>
          <w:szCs w:val="24"/>
        </w:rPr>
        <w:t>Рокотяна, И.</w:t>
      </w:r>
      <w:r w:rsidRPr="00496E8A">
        <w:rPr>
          <w:rFonts w:ascii="Times New Roman" w:hAnsi="Times New Roman"/>
          <w:sz w:val="24"/>
          <w:szCs w:val="24"/>
          <w:lang w:val="uk-UA"/>
        </w:rPr>
        <w:t> </w:t>
      </w:r>
      <w:r w:rsidRPr="00496E8A">
        <w:rPr>
          <w:rFonts w:ascii="Times New Roman" w:hAnsi="Times New Roman"/>
          <w:sz w:val="24"/>
          <w:szCs w:val="24"/>
        </w:rPr>
        <w:t>М.</w:t>
      </w:r>
      <w:r w:rsidRPr="00496E8A">
        <w:rPr>
          <w:rFonts w:ascii="Times New Roman" w:hAnsi="Times New Roman"/>
          <w:sz w:val="24"/>
          <w:szCs w:val="24"/>
          <w:lang w:val="uk-UA"/>
        </w:rPr>
        <w:t> </w:t>
      </w:r>
      <w:r w:rsidRPr="00496E8A">
        <w:rPr>
          <w:rFonts w:ascii="Times New Roman" w:hAnsi="Times New Roman"/>
          <w:sz w:val="24"/>
          <w:szCs w:val="24"/>
        </w:rPr>
        <w:t>Шапиро. – М.:Энергоатомиздат, 1985. – 352</w:t>
      </w:r>
      <w:r w:rsidRPr="00496E8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6E8A">
        <w:rPr>
          <w:rFonts w:ascii="Times New Roman" w:hAnsi="Times New Roman"/>
          <w:sz w:val="24"/>
          <w:szCs w:val="24"/>
        </w:rPr>
        <w:t>с.</w:t>
      </w:r>
    </w:p>
    <w:sectPr w:rsidR="007F4493" w:rsidRPr="00343492" w:rsidSect="0034349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D9F" w:rsidRDefault="00684D9F" w:rsidP="0023330D">
      <w:pPr>
        <w:spacing w:after="0" w:line="240" w:lineRule="auto"/>
      </w:pPr>
      <w:r>
        <w:separator/>
      </w:r>
    </w:p>
  </w:endnote>
  <w:endnote w:type="continuationSeparator" w:id="1">
    <w:p w:rsidR="00684D9F" w:rsidRDefault="00684D9F" w:rsidP="0023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D9F" w:rsidRDefault="00684D9F" w:rsidP="0023330D">
      <w:pPr>
        <w:spacing w:after="0" w:line="240" w:lineRule="auto"/>
      </w:pPr>
      <w:r>
        <w:separator/>
      </w:r>
    </w:p>
  </w:footnote>
  <w:footnote w:type="continuationSeparator" w:id="1">
    <w:p w:rsidR="00684D9F" w:rsidRDefault="00684D9F" w:rsidP="00233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4FD"/>
    <w:multiLevelType w:val="hybridMultilevel"/>
    <w:tmpl w:val="6400C46A"/>
    <w:lvl w:ilvl="0" w:tplc="9C62E72C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9173E74"/>
    <w:multiLevelType w:val="hybridMultilevel"/>
    <w:tmpl w:val="CEAC536A"/>
    <w:lvl w:ilvl="0" w:tplc="0F404E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E5D63"/>
    <w:multiLevelType w:val="hybridMultilevel"/>
    <w:tmpl w:val="671C2332"/>
    <w:lvl w:ilvl="0" w:tplc="ABFA46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215A1A"/>
    <w:multiLevelType w:val="hybridMultilevel"/>
    <w:tmpl w:val="65723E72"/>
    <w:lvl w:ilvl="0" w:tplc="142C5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74F"/>
    <w:rsid w:val="00016C5D"/>
    <w:rsid w:val="00020E0B"/>
    <w:rsid w:val="00024B56"/>
    <w:rsid w:val="00026267"/>
    <w:rsid w:val="00034396"/>
    <w:rsid w:val="00040ED3"/>
    <w:rsid w:val="000644F1"/>
    <w:rsid w:val="000675B5"/>
    <w:rsid w:val="00070950"/>
    <w:rsid w:val="00072C4E"/>
    <w:rsid w:val="0008221E"/>
    <w:rsid w:val="000833D4"/>
    <w:rsid w:val="00084709"/>
    <w:rsid w:val="00091F12"/>
    <w:rsid w:val="000A272D"/>
    <w:rsid w:val="000A4FAE"/>
    <w:rsid w:val="000B61ED"/>
    <w:rsid w:val="000B71EE"/>
    <w:rsid w:val="000C2220"/>
    <w:rsid w:val="000C657A"/>
    <w:rsid w:val="000D40F2"/>
    <w:rsid w:val="000D4CAE"/>
    <w:rsid w:val="000E4F3F"/>
    <w:rsid w:val="000F0336"/>
    <w:rsid w:val="00100714"/>
    <w:rsid w:val="00104A6F"/>
    <w:rsid w:val="00125CF4"/>
    <w:rsid w:val="001278BB"/>
    <w:rsid w:val="00141D9B"/>
    <w:rsid w:val="00147D66"/>
    <w:rsid w:val="0015085F"/>
    <w:rsid w:val="00162C20"/>
    <w:rsid w:val="00163017"/>
    <w:rsid w:val="0017107D"/>
    <w:rsid w:val="0018095C"/>
    <w:rsid w:val="00195B64"/>
    <w:rsid w:val="0019793B"/>
    <w:rsid w:val="001C1F53"/>
    <w:rsid w:val="001C323D"/>
    <w:rsid w:val="001C5268"/>
    <w:rsid w:val="001D2DDE"/>
    <w:rsid w:val="001D6FA2"/>
    <w:rsid w:val="001E5EC7"/>
    <w:rsid w:val="001E6FBD"/>
    <w:rsid w:val="001F2E4A"/>
    <w:rsid w:val="002157D1"/>
    <w:rsid w:val="00217D6D"/>
    <w:rsid w:val="0023330D"/>
    <w:rsid w:val="002351CF"/>
    <w:rsid w:val="00256937"/>
    <w:rsid w:val="00256BB4"/>
    <w:rsid w:val="002617C2"/>
    <w:rsid w:val="002750C9"/>
    <w:rsid w:val="0027590C"/>
    <w:rsid w:val="002779FD"/>
    <w:rsid w:val="002830AC"/>
    <w:rsid w:val="002839A8"/>
    <w:rsid w:val="002847EB"/>
    <w:rsid w:val="0028721D"/>
    <w:rsid w:val="00292AE4"/>
    <w:rsid w:val="00296617"/>
    <w:rsid w:val="002A36B6"/>
    <w:rsid w:val="002A40C6"/>
    <w:rsid w:val="002C4C98"/>
    <w:rsid w:val="002C5FC2"/>
    <w:rsid w:val="002D12DE"/>
    <w:rsid w:val="002D22BF"/>
    <w:rsid w:val="002D4A6A"/>
    <w:rsid w:val="002D5754"/>
    <w:rsid w:val="002D6929"/>
    <w:rsid w:val="002E1732"/>
    <w:rsid w:val="002E5F73"/>
    <w:rsid w:val="003106E8"/>
    <w:rsid w:val="003116AE"/>
    <w:rsid w:val="003155FE"/>
    <w:rsid w:val="0032390A"/>
    <w:rsid w:val="00327763"/>
    <w:rsid w:val="00330003"/>
    <w:rsid w:val="00330455"/>
    <w:rsid w:val="00333BB2"/>
    <w:rsid w:val="003402E9"/>
    <w:rsid w:val="00343492"/>
    <w:rsid w:val="00344E9F"/>
    <w:rsid w:val="0036668E"/>
    <w:rsid w:val="0036689C"/>
    <w:rsid w:val="00393F3F"/>
    <w:rsid w:val="003967BD"/>
    <w:rsid w:val="003A02CF"/>
    <w:rsid w:val="003A19D5"/>
    <w:rsid w:val="003C4F37"/>
    <w:rsid w:val="003C74BE"/>
    <w:rsid w:val="003E33B4"/>
    <w:rsid w:val="003F200C"/>
    <w:rsid w:val="003F3E53"/>
    <w:rsid w:val="004032D5"/>
    <w:rsid w:val="004054D5"/>
    <w:rsid w:val="004169C8"/>
    <w:rsid w:val="00430184"/>
    <w:rsid w:val="00436337"/>
    <w:rsid w:val="004369FA"/>
    <w:rsid w:val="00443899"/>
    <w:rsid w:val="004626FD"/>
    <w:rsid w:val="00463D79"/>
    <w:rsid w:val="004645AC"/>
    <w:rsid w:val="004901EC"/>
    <w:rsid w:val="0049246E"/>
    <w:rsid w:val="004A5714"/>
    <w:rsid w:val="004A5BBB"/>
    <w:rsid w:val="004A6812"/>
    <w:rsid w:val="004B148E"/>
    <w:rsid w:val="004D067F"/>
    <w:rsid w:val="004D22DD"/>
    <w:rsid w:val="004D4A21"/>
    <w:rsid w:val="004E24D0"/>
    <w:rsid w:val="004E2908"/>
    <w:rsid w:val="004E61FE"/>
    <w:rsid w:val="0051707D"/>
    <w:rsid w:val="00523C40"/>
    <w:rsid w:val="00527128"/>
    <w:rsid w:val="00533232"/>
    <w:rsid w:val="005340AF"/>
    <w:rsid w:val="005408D2"/>
    <w:rsid w:val="00545521"/>
    <w:rsid w:val="005532E8"/>
    <w:rsid w:val="005758E6"/>
    <w:rsid w:val="00576BCC"/>
    <w:rsid w:val="005847D8"/>
    <w:rsid w:val="005A5A6D"/>
    <w:rsid w:val="005C02B5"/>
    <w:rsid w:val="005E0570"/>
    <w:rsid w:val="005E2EBD"/>
    <w:rsid w:val="005E5C85"/>
    <w:rsid w:val="005F14DA"/>
    <w:rsid w:val="005F5562"/>
    <w:rsid w:val="005F5C53"/>
    <w:rsid w:val="005F7323"/>
    <w:rsid w:val="00603C12"/>
    <w:rsid w:val="006171B7"/>
    <w:rsid w:val="00642AA2"/>
    <w:rsid w:val="00650703"/>
    <w:rsid w:val="00653DB5"/>
    <w:rsid w:val="00663C5B"/>
    <w:rsid w:val="00664BEF"/>
    <w:rsid w:val="00667E99"/>
    <w:rsid w:val="006811E7"/>
    <w:rsid w:val="00684D9F"/>
    <w:rsid w:val="00693358"/>
    <w:rsid w:val="006A4DC7"/>
    <w:rsid w:val="006A60E0"/>
    <w:rsid w:val="006B6815"/>
    <w:rsid w:val="006C7A5A"/>
    <w:rsid w:val="006D0D8B"/>
    <w:rsid w:val="006D283A"/>
    <w:rsid w:val="006D6153"/>
    <w:rsid w:val="006E04B8"/>
    <w:rsid w:val="007027B6"/>
    <w:rsid w:val="00705570"/>
    <w:rsid w:val="007272E2"/>
    <w:rsid w:val="00734CC6"/>
    <w:rsid w:val="007453A8"/>
    <w:rsid w:val="0075688D"/>
    <w:rsid w:val="00756C91"/>
    <w:rsid w:val="00764EAD"/>
    <w:rsid w:val="00765C44"/>
    <w:rsid w:val="00767DAD"/>
    <w:rsid w:val="00772EC2"/>
    <w:rsid w:val="007759AD"/>
    <w:rsid w:val="007930D4"/>
    <w:rsid w:val="007B2822"/>
    <w:rsid w:val="007B5577"/>
    <w:rsid w:val="007C41DB"/>
    <w:rsid w:val="007C48C0"/>
    <w:rsid w:val="007D386D"/>
    <w:rsid w:val="007D60BC"/>
    <w:rsid w:val="007D64FE"/>
    <w:rsid w:val="007E3330"/>
    <w:rsid w:val="007F4493"/>
    <w:rsid w:val="0081393E"/>
    <w:rsid w:val="00826459"/>
    <w:rsid w:val="00837457"/>
    <w:rsid w:val="00847469"/>
    <w:rsid w:val="00855C6D"/>
    <w:rsid w:val="00856D5F"/>
    <w:rsid w:val="00856EAB"/>
    <w:rsid w:val="00857D68"/>
    <w:rsid w:val="0086466F"/>
    <w:rsid w:val="0087124C"/>
    <w:rsid w:val="00876177"/>
    <w:rsid w:val="0087746B"/>
    <w:rsid w:val="00880113"/>
    <w:rsid w:val="0089268C"/>
    <w:rsid w:val="00892833"/>
    <w:rsid w:val="008A7E45"/>
    <w:rsid w:val="008B6473"/>
    <w:rsid w:val="008B7C4F"/>
    <w:rsid w:val="008C5E3F"/>
    <w:rsid w:val="008E5475"/>
    <w:rsid w:val="008F0BED"/>
    <w:rsid w:val="008F2B89"/>
    <w:rsid w:val="0090461E"/>
    <w:rsid w:val="00904E3D"/>
    <w:rsid w:val="00905D0F"/>
    <w:rsid w:val="009075AA"/>
    <w:rsid w:val="00914AA5"/>
    <w:rsid w:val="00915CD1"/>
    <w:rsid w:val="009201DE"/>
    <w:rsid w:val="009352B1"/>
    <w:rsid w:val="009412C6"/>
    <w:rsid w:val="009439FF"/>
    <w:rsid w:val="00946CE7"/>
    <w:rsid w:val="00956538"/>
    <w:rsid w:val="00957E65"/>
    <w:rsid w:val="00962E19"/>
    <w:rsid w:val="00973772"/>
    <w:rsid w:val="0098027C"/>
    <w:rsid w:val="00982276"/>
    <w:rsid w:val="0098325B"/>
    <w:rsid w:val="0098729C"/>
    <w:rsid w:val="00996808"/>
    <w:rsid w:val="00996A86"/>
    <w:rsid w:val="009A0B1B"/>
    <w:rsid w:val="009A1D4C"/>
    <w:rsid w:val="009A4B81"/>
    <w:rsid w:val="009A6F24"/>
    <w:rsid w:val="009A79FC"/>
    <w:rsid w:val="009B0AEC"/>
    <w:rsid w:val="009C1146"/>
    <w:rsid w:val="009D2B65"/>
    <w:rsid w:val="009E191C"/>
    <w:rsid w:val="009E34BA"/>
    <w:rsid w:val="009F4782"/>
    <w:rsid w:val="00A07677"/>
    <w:rsid w:val="00A07830"/>
    <w:rsid w:val="00A22683"/>
    <w:rsid w:val="00A23988"/>
    <w:rsid w:val="00A25913"/>
    <w:rsid w:val="00A35282"/>
    <w:rsid w:val="00A365E2"/>
    <w:rsid w:val="00A40411"/>
    <w:rsid w:val="00A6604B"/>
    <w:rsid w:val="00A7062B"/>
    <w:rsid w:val="00A7486C"/>
    <w:rsid w:val="00A76FE2"/>
    <w:rsid w:val="00A84F44"/>
    <w:rsid w:val="00A91166"/>
    <w:rsid w:val="00A911D4"/>
    <w:rsid w:val="00A93611"/>
    <w:rsid w:val="00A975A6"/>
    <w:rsid w:val="00AA07E5"/>
    <w:rsid w:val="00AB06CE"/>
    <w:rsid w:val="00AE19BE"/>
    <w:rsid w:val="00AE7BBF"/>
    <w:rsid w:val="00AF3723"/>
    <w:rsid w:val="00B02954"/>
    <w:rsid w:val="00B02A14"/>
    <w:rsid w:val="00B030BE"/>
    <w:rsid w:val="00B06170"/>
    <w:rsid w:val="00B06EE8"/>
    <w:rsid w:val="00B2463B"/>
    <w:rsid w:val="00B34D3F"/>
    <w:rsid w:val="00B37794"/>
    <w:rsid w:val="00B41ADD"/>
    <w:rsid w:val="00B500F1"/>
    <w:rsid w:val="00B5480A"/>
    <w:rsid w:val="00B55939"/>
    <w:rsid w:val="00B63C56"/>
    <w:rsid w:val="00B7074F"/>
    <w:rsid w:val="00B773D9"/>
    <w:rsid w:val="00B7786E"/>
    <w:rsid w:val="00B81823"/>
    <w:rsid w:val="00B83FFC"/>
    <w:rsid w:val="00B872DD"/>
    <w:rsid w:val="00BA0A9C"/>
    <w:rsid w:val="00BA5014"/>
    <w:rsid w:val="00BA5044"/>
    <w:rsid w:val="00BA78BB"/>
    <w:rsid w:val="00BB3D48"/>
    <w:rsid w:val="00BC44A0"/>
    <w:rsid w:val="00BC7496"/>
    <w:rsid w:val="00BD05D5"/>
    <w:rsid w:val="00BD6B9D"/>
    <w:rsid w:val="00BD74B8"/>
    <w:rsid w:val="00BE1DF3"/>
    <w:rsid w:val="00BE7E09"/>
    <w:rsid w:val="00BF0AFE"/>
    <w:rsid w:val="00BF66D0"/>
    <w:rsid w:val="00C03ED1"/>
    <w:rsid w:val="00C05C35"/>
    <w:rsid w:val="00C0774B"/>
    <w:rsid w:val="00C07CEA"/>
    <w:rsid w:val="00C10BB7"/>
    <w:rsid w:val="00C1327A"/>
    <w:rsid w:val="00C20727"/>
    <w:rsid w:val="00C27C26"/>
    <w:rsid w:val="00C42B6A"/>
    <w:rsid w:val="00C5332D"/>
    <w:rsid w:val="00C63627"/>
    <w:rsid w:val="00C7067B"/>
    <w:rsid w:val="00C73A70"/>
    <w:rsid w:val="00C9542C"/>
    <w:rsid w:val="00CA14FF"/>
    <w:rsid w:val="00CA5095"/>
    <w:rsid w:val="00CB70D4"/>
    <w:rsid w:val="00CC3F16"/>
    <w:rsid w:val="00CD213E"/>
    <w:rsid w:val="00CD5A70"/>
    <w:rsid w:val="00CD70D1"/>
    <w:rsid w:val="00CE64D7"/>
    <w:rsid w:val="00D05152"/>
    <w:rsid w:val="00D22294"/>
    <w:rsid w:val="00D22AFB"/>
    <w:rsid w:val="00D27E61"/>
    <w:rsid w:val="00D51627"/>
    <w:rsid w:val="00D54904"/>
    <w:rsid w:val="00D579DC"/>
    <w:rsid w:val="00D762FC"/>
    <w:rsid w:val="00D778FB"/>
    <w:rsid w:val="00D77FD9"/>
    <w:rsid w:val="00D812E1"/>
    <w:rsid w:val="00D836D8"/>
    <w:rsid w:val="00D87AD3"/>
    <w:rsid w:val="00DA4A79"/>
    <w:rsid w:val="00DB67BD"/>
    <w:rsid w:val="00DB7C94"/>
    <w:rsid w:val="00DC042A"/>
    <w:rsid w:val="00DC4A3F"/>
    <w:rsid w:val="00DD1531"/>
    <w:rsid w:val="00DD758F"/>
    <w:rsid w:val="00DE22EF"/>
    <w:rsid w:val="00DE4D89"/>
    <w:rsid w:val="00DF6DD3"/>
    <w:rsid w:val="00E02F43"/>
    <w:rsid w:val="00E16542"/>
    <w:rsid w:val="00E24377"/>
    <w:rsid w:val="00E36D9F"/>
    <w:rsid w:val="00E44999"/>
    <w:rsid w:val="00E461B0"/>
    <w:rsid w:val="00E51BC5"/>
    <w:rsid w:val="00E5513A"/>
    <w:rsid w:val="00E604D8"/>
    <w:rsid w:val="00E9641F"/>
    <w:rsid w:val="00EB041C"/>
    <w:rsid w:val="00EB3C24"/>
    <w:rsid w:val="00EB6225"/>
    <w:rsid w:val="00EC5897"/>
    <w:rsid w:val="00ED453E"/>
    <w:rsid w:val="00EF6F0F"/>
    <w:rsid w:val="00F04CBB"/>
    <w:rsid w:val="00F1499B"/>
    <w:rsid w:val="00F23BC8"/>
    <w:rsid w:val="00F325C9"/>
    <w:rsid w:val="00F403DB"/>
    <w:rsid w:val="00F4435D"/>
    <w:rsid w:val="00F56B4F"/>
    <w:rsid w:val="00F605B8"/>
    <w:rsid w:val="00F700DC"/>
    <w:rsid w:val="00F717A3"/>
    <w:rsid w:val="00F8369B"/>
    <w:rsid w:val="00F902B3"/>
    <w:rsid w:val="00F9568E"/>
    <w:rsid w:val="00FA3218"/>
    <w:rsid w:val="00FA7F7C"/>
    <w:rsid w:val="00FB0A8C"/>
    <w:rsid w:val="00FB68CA"/>
    <w:rsid w:val="00FD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03D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65C4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6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C44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3304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330003"/>
  </w:style>
  <w:style w:type="character" w:customStyle="1" w:styleId="apple-converted-space">
    <w:name w:val="apple-converted-space"/>
    <w:basedOn w:val="a0"/>
    <w:rsid w:val="007F4493"/>
  </w:style>
  <w:style w:type="paragraph" w:styleId="a8">
    <w:name w:val="header"/>
    <w:basedOn w:val="a"/>
    <w:link w:val="a9"/>
    <w:uiPriority w:val="99"/>
    <w:semiHidden/>
    <w:unhideWhenUsed/>
    <w:rsid w:val="0023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23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30D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56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6EA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4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3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23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5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06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7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2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B48B-FFFF-4CCA-A911-11D1D10E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ОЦІНКА НАДІЙНОСТІ ЕЛЕКТРОПРИВОДУ НАСОСА СИСТЕМИ ВНУТРІШНЬОГО ПРОТИПОЖЕЖНОГО  ВОДОПОСТАЧАННЯ</vt:lpstr>
      <vt:lpstr>ОЦІНКА НАДІЙНОСТІ ЕЛЕКТРОПРИВОДУ НАСОСА СИСТЕМИ ВНУТРІШНЬОГО ПРОТИПОЖЕЖНОГО  ВОДОПОСТАЧАННЯ</vt:lpstr>
    </vt:vector>
  </TitlesOfParts>
  <Company>Reanimator Extreme Edition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ОЦІНКА НАДІЙНОСТІ ЕЛЕКТРОПРИВОДУ НАСОСА СИСТЕМИ ВНУТРІШНЬОГО ПРОТИПОЖЕЖНОГО  ВОДОПОСТАЧАННЯ</dc:title>
  <dc:creator>Admin</dc:creator>
  <cp:lastModifiedBy>Admin</cp:lastModifiedBy>
  <cp:revision>4</cp:revision>
  <cp:lastPrinted>2016-05-12T07:33:00Z</cp:lastPrinted>
  <dcterms:created xsi:type="dcterms:W3CDTF">2019-02-25T06:58:00Z</dcterms:created>
  <dcterms:modified xsi:type="dcterms:W3CDTF">2019-02-25T07:08:00Z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