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37" w:rsidRPr="00DF4D37" w:rsidRDefault="00F63237" w:rsidP="00F63237">
      <w:pPr>
        <w:pStyle w:val="Default"/>
        <w:jc w:val="both"/>
        <w:rPr>
          <w:color w:val="auto"/>
          <w:lang w:val="uk-UA"/>
        </w:rPr>
      </w:pPr>
      <w:r w:rsidRPr="00DF4D37">
        <w:rPr>
          <w:color w:val="auto"/>
          <w:lang w:val="uk-UA"/>
        </w:rPr>
        <w:t>УДК</w:t>
      </w:r>
      <w:r w:rsidR="002412C5" w:rsidRPr="00DF4D37">
        <w:rPr>
          <w:color w:val="auto"/>
          <w:lang w:val="uk-UA"/>
        </w:rPr>
        <w:t xml:space="preserve"> </w:t>
      </w:r>
      <w:r w:rsidR="00DF4D37" w:rsidRPr="00DF4D37">
        <w:rPr>
          <w:color w:val="auto"/>
          <w:lang w:val="uk-UA"/>
        </w:rPr>
        <w:t>712:582.82</w:t>
      </w:r>
    </w:p>
    <w:p w:rsidR="007B5146" w:rsidRPr="00DF4D37" w:rsidRDefault="007B5146" w:rsidP="00F63237">
      <w:pPr>
        <w:pStyle w:val="Default"/>
        <w:jc w:val="center"/>
        <w:rPr>
          <w:b/>
          <w:bCs/>
          <w:color w:val="auto"/>
          <w:lang w:val="uk-UA"/>
        </w:rPr>
      </w:pPr>
      <w:r w:rsidRPr="00DF4D37">
        <w:rPr>
          <w:b/>
          <w:bCs/>
          <w:color w:val="auto"/>
          <w:lang w:val="uk-UA"/>
        </w:rPr>
        <w:t xml:space="preserve">ОСОБЛИВОСТІ ФАЗИ ОСІННЬОГО ЗАБАРВЛЕННЯ ЛИСТЯ ЛІАН РОДУ </w:t>
      </w:r>
      <w:r w:rsidRPr="00DF4D37">
        <w:rPr>
          <w:b/>
          <w:bCs/>
          <w:i/>
          <w:iCs/>
          <w:color w:val="auto"/>
          <w:lang w:val="uk-UA"/>
        </w:rPr>
        <w:t xml:space="preserve">PARTHENOCISSUS </w:t>
      </w:r>
      <w:proofErr w:type="spellStart"/>
      <w:r w:rsidRPr="00DF4D37">
        <w:rPr>
          <w:b/>
          <w:bCs/>
          <w:color w:val="auto"/>
          <w:lang w:val="uk-UA"/>
        </w:rPr>
        <w:t>Planch</w:t>
      </w:r>
      <w:proofErr w:type="spellEnd"/>
      <w:r w:rsidRPr="00DF4D37">
        <w:rPr>
          <w:b/>
          <w:bCs/>
          <w:color w:val="auto"/>
          <w:lang w:val="uk-UA"/>
        </w:rPr>
        <w:t>.</w:t>
      </w:r>
    </w:p>
    <w:p w:rsidR="00C2385B" w:rsidRPr="00DF4D37" w:rsidRDefault="00C2385B" w:rsidP="00F63237">
      <w:pPr>
        <w:pStyle w:val="Default"/>
        <w:jc w:val="center"/>
        <w:rPr>
          <w:b/>
          <w:bCs/>
          <w:color w:val="auto"/>
          <w:sz w:val="20"/>
          <w:szCs w:val="20"/>
          <w:lang w:val="uk-UA"/>
        </w:rPr>
      </w:pPr>
    </w:p>
    <w:p w:rsidR="00F63237" w:rsidRPr="00DF4D37" w:rsidRDefault="005A0968" w:rsidP="00F63237">
      <w:pPr>
        <w:pStyle w:val="Default"/>
        <w:jc w:val="center"/>
        <w:rPr>
          <w:b/>
          <w:bCs/>
          <w:color w:val="auto"/>
          <w:lang w:val="uk-UA"/>
        </w:rPr>
      </w:pPr>
      <w:proofErr w:type="spellStart"/>
      <w:r w:rsidRPr="00DF4D37">
        <w:rPr>
          <w:b/>
          <w:color w:val="auto"/>
          <w:lang w:val="uk-UA"/>
        </w:rPr>
        <w:t>Кендзьора</w:t>
      </w:r>
      <w:proofErr w:type="spellEnd"/>
      <w:r w:rsidRPr="00DF4D37">
        <w:rPr>
          <w:b/>
          <w:color w:val="auto"/>
          <w:lang w:val="uk-UA"/>
        </w:rPr>
        <w:t xml:space="preserve"> Н.З.,</w:t>
      </w:r>
      <w:r w:rsidRPr="005A0968">
        <w:rPr>
          <w:b/>
          <w:color w:val="auto"/>
          <w:lang w:val="uk-UA"/>
        </w:rPr>
        <w:t xml:space="preserve"> </w:t>
      </w:r>
      <w:proofErr w:type="spellStart"/>
      <w:r w:rsidR="00F63237" w:rsidRPr="00DF4D37">
        <w:rPr>
          <w:b/>
          <w:color w:val="auto"/>
          <w:lang w:val="uk-UA"/>
        </w:rPr>
        <w:t>Гоцій</w:t>
      </w:r>
      <w:proofErr w:type="spellEnd"/>
      <w:r w:rsidR="00F63237" w:rsidRPr="00DF4D37">
        <w:rPr>
          <w:b/>
          <w:color w:val="auto"/>
          <w:lang w:val="uk-UA"/>
        </w:rPr>
        <w:t xml:space="preserve"> Н.Д. </w:t>
      </w:r>
    </w:p>
    <w:p w:rsidR="00F63237" w:rsidRPr="00DF4D37" w:rsidRDefault="00F63237" w:rsidP="00F6323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DF4D37">
        <w:rPr>
          <w:rFonts w:ascii="Times New Roman" w:hAnsi="Times New Roman"/>
          <w:sz w:val="24"/>
          <w:szCs w:val="24"/>
          <w:lang w:val="uk-UA"/>
        </w:rPr>
        <w:t>Національний лісотехнічний університет України,</w:t>
      </w:r>
    </w:p>
    <w:p w:rsidR="00F63237" w:rsidRPr="00DF4D37" w:rsidRDefault="00F63237" w:rsidP="00F63237">
      <w:pPr>
        <w:pStyle w:val="a5"/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r w:rsidRPr="00DF4D37">
        <w:rPr>
          <w:rFonts w:ascii="Times New Roman" w:hAnsi="Times New Roman"/>
          <w:sz w:val="24"/>
          <w:szCs w:val="24"/>
          <w:lang w:val="uk-UA"/>
        </w:rPr>
        <w:t>м. Львів, Україна, 79057</w:t>
      </w:r>
      <w:r w:rsidRPr="00DF4D37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5A0968" w:rsidRDefault="00F63237" w:rsidP="00902385">
      <w:pPr>
        <w:pStyle w:val="a5"/>
        <w:spacing w:after="0" w:line="240" w:lineRule="auto"/>
        <w:ind w:left="0"/>
        <w:jc w:val="center"/>
        <w:rPr>
          <w:lang w:val="en-US"/>
        </w:rPr>
      </w:pPr>
      <w:r w:rsidRPr="00F63237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F63237">
        <w:rPr>
          <w:rFonts w:ascii="Times New Roman" w:eastAsia="Calibri" w:hAnsi="Times New Roman"/>
          <w:sz w:val="24"/>
          <w:szCs w:val="24"/>
          <w:lang w:val="uk-UA"/>
        </w:rPr>
        <w:t>-</w:t>
      </w:r>
      <w:r w:rsidRPr="00F63237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F63237">
        <w:rPr>
          <w:rFonts w:ascii="Times New Roman" w:eastAsia="Calibri" w:hAnsi="Times New Roman"/>
          <w:sz w:val="24"/>
          <w:szCs w:val="24"/>
          <w:lang w:val="uk-UA"/>
        </w:rPr>
        <w:t>:</w:t>
      </w:r>
      <w:r w:rsidRPr="00F63237">
        <w:rPr>
          <w:rFonts w:ascii="Times New Roman" w:eastAsia="Calibri" w:hAnsi="Times New Roman"/>
          <w:color w:val="7030A0"/>
          <w:sz w:val="24"/>
          <w:szCs w:val="24"/>
          <w:lang w:val="uk-UA"/>
        </w:rPr>
        <w:t xml:space="preserve"> </w:t>
      </w:r>
      <w:hyperlink r:id="rId6" w:history="1">
        <w:r w:rsidR="005A0968" w:rsidRPr="00F63237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nataly_kend@ukr.net</w:t>
        </w:r>
      </w:hyperlink>
    </w:p>
    <w:p w:rsidR="00902385" w:rsidRDefault="005A0968" w:rsidP="00902385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7030A0"/>
          <w:sz w:val="24"/>
          <w:szCs w:val="24"/>
          <w:shd w:val="clear" w:color="auto" w:fill="FFFFFF"/>
          <w:lang w:val="uk-UA"/>
        </w:rPr>
      </w:pPr>
      <w:r>
        <w:rPr>
          <w:lang w:val="en-US"/>
        </w:rPr>
        <w:t xml:space="preserve">                </w:t>
      </w:r>
      <w:r w:rsidR="00475AAF">
        <w:fldChar w:fldCharType="begin"/>
      </w:r>
      <w:r w:rsidR="00475AAF" w:rsidRPr="005A0968">
        <w:rPr>
          <w:lang w:val="en-US"/>
        </w:rPr>
        <w:instrText>HYPERLINK</w:instrText>
      </w:r>
      <w:r w:rsidR="00475AAF" w:rsidRPr="002D540A">
        <w:rPr>
          <w:lang w:val="uk-UA"/>
        </w:rPr>
        <w:instrText xml:space="preserve"> "</w:instrText>
      </w:r>
      <w:r w:rsidR="00475AAF" w:rsidRPr="005A0968">
        <w:rPr>
          <w:lang w:val="en-US"/>
        </w:rPr>
        <w:instrText>file</w:instrText>
      </w:r>
      <w:r w:rsidR="00475AAF" w:rsidRPr="002D540A">
        <w:rPr>
          <w:lang w:val="uk-UA"/>
        </w:rPr>
        <w:instrText>:///</w:instrText>
      </w:r>
      <w:r w:rsidR="00475AAF" w:rsidRPr="005A0968">
        <w:rPr>
          <w:lang w:val="en-US"/>
        </w:rPr>
        <w:instrText>C</w:instrText>
      </w:r>
      <w:r w:rsidR="00475AAF" w:rsidRPr="002D540A">
        <w:rPr>
          <w:lang w:val="uk-UA"/>
        </w:rPr>
        <w:instrText>:\\</w:instrText>
      </w:r>
      <w:r w:rsidR="00475AAF" w:rsidRPr="005A0968">
        <w:rPr>
          <w:lang w:val="en-US"/>
        </w:rPr>
        <w:instrText>Documents</w:instrText>
      </w:r>
      <w:r w:rsidR="00475AAF" w:rsidRPr="002D540A">
        <w:rPr>
          <w:lang w:val="uk-UA"/>
        </w:rPr>
        <w:instrText>%20</w:instrText>
      </w:r>
      <w:r w:rsidR="00475AAF" w:rsidRPr="005A0968">
        <w:rPr>
          <w:lang w:val="en-US"/>
        </w:rPr>
        <w:instrText>and</w:instrText>
      </w:r>
      <w:r w:rsidR="00475AAF" w:rsidRPr="002D540A">
        <w:rPr>
          <w:lang w:val="uk-UA"/>
        </w:rPr>
        <w:instrText>%20</w:instrText>
      </w:r>
      <w:r w:rsidR="00475AAF" w:rsidRPr="005A0968">
        <w:rPr>
          <w:lang w:val="en-US"/>
        </w:rPr>
        <w:instrText>Settings</w:instrText>
      </w:r>
      <w:r w:rsidR="00475AAF" w:rsidRPr="002D540A">
        <w:rPr>
          <w:lang w:val="uk-UA"/>
        </w:rPr>
        <w:instrText>\\</w:instrText>
      </w:r>
      <w:r w:rsidR="00475AAF" w:rsidRPr="005A0968">
        <w:rPr>
          <w:lang w:val="en-US"/>
        </w:rPr>
        <w:instrText>Loner</w:instrText>
      </w:r>
      <w:r w:rsidR="00475AAF" w:rsidRPr="002D540A">
        <w:rPr>
          <w:lang w:val="uk-UA"/>
        </w:rPr>
        <w:instrText>\\Рабочий%20стол\\</w:instrText>
      </w:r>
      <w:r w:rsidR="00475AAF" w:rsidRPr="005A0968">
        <w:rPr>
          <w:lang w:val="en-US"/>
        </w:rPr>
        <w:instrText>nataly</w:instrText>
      </w:r>
      <w:r w:rsidR="00475AAF" w:rsidRPr="002D540A">
        <w:rPr>
          <w:lang w:val="uk-UA"/>
        </w:rPr>
        <w:instrText>_</w:instrText>
      </w:r>
      <w:r w:rsidR="00475AAF" w:rsidRPr="005A0968">
        <w:rPr>
          <w:lang w:val="en-US"/>
        </w:rPr>
        <w:instrText>kend</w:instrText>
      </w:r>
      <w:r w:rsidR="00475AAF" w:rsidRPr="002D540A">
        <w:rPr>
          <w:lang w:val="uk-UA"/>
        </w:rPr>
        <w:instrText>@</w:instrText>
      </w:r>
      <w:r w:rsidR="00475AAF" w:rsidRPr="005A0968">
        <w:rPr>
          <w:lang w:val="en-US"/>
        </w:rPr>
        <w:instrText>ukr</w:instrText>
      </w:r>
      <w:r w:rsidR="00475AAF" w:rsidRPr="002D540A">
        <w:rPr>
          <w:lang w:val="uk-UA"/>
        </w:rPr>
        <w:instrText>.</w:instrText>
      </w:r>
      <w:r w:rsidR="00475AAF" w:rsidRPr="005A0968">
        <w:rPr>
          <w:lang w:val="en-US"/>
        </w:rPr>
        <w:instrText>net</w:instrText>
      </w:r>
      <w:r w:rsidR="00475AAF" w:rsidRPr="002D540A">
        <w:rPr>
          <w:lang w:val="uk-UA"/>
        </w:rPr>
        <w:instrText>"</w:instrText>
      </w:r>
      <w:r w:rsidR="00475AAF">
        <w:fldChar w:fldCharType="separate"/>
      </w:r>
      <w:r w:rsidR="00902385" w:rsidRPr="00F63237">
        <w:rPr>
          <w:rStyle w:val="a4"/>
          <w:rFonts w:ascii="Times New Roman" w:hAnsi="Times New Roman"/>
          <w:sz w:val="24"/>
          <w:szCs w:val="24"/>
          <w:shd w:val="clear" w:color="auto" w:fill="FFFFFF"/>
          <w:lang w:val="uk-UA"/>
        </w:rPr>
        <w:t>natal</w:t>
      </w:r>
      <w:r w:rsidR="00902385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="00902385" w:rsidRPr="00F63237">
        <w:rPr>
          <w:rStyle w:val="a4"/>
          <w:rFonts w:ascii="Times New Roman" w:hAnsi="Times New Roman"/>
          <w:sz w:val="24"/>
          <w:szCs w:val="24"/>
          <w:shd w:val="clear" w:color="auto" w:fill="FFFFFF"/>
          <w:lang w:val="uk-UA"/>
        </w:rPr>
        <w:t>_</w:t>
      </w:r>
      <w:r w:rsidR="00902385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gociy</w:t>
      </w:r>
      <w:r w:rsidR="00902385" w:rsidRPr="00F63237">
        <w:rPr>
          <w:rStyle w:val="a4"/>
          <w:rFonts w:ascii="Times New Roman" w:hAnsi="Times New Roman"/>
          <w:sz w:val="24"/>
          <w:szCs w:val="24"/>
          <w:shd w:val="clear" w:color="auto" w:fill="FFFFFF"/>
          <w:lang w:val="uk-UA"/>
        </w:rPr>
        <w:t>@ukr.net</w:t>
      </w:r>
      <w:r w:rsidR="00475AAF">
        <w:fldChar w:fldCharType="end"/>
      </w:r>
    </w:p>
    <w:p w:rsidR="00F63237" w:rsidRDefault="00902385" w:rsidP="00F63237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7030A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7030A0"/>
          <w:sz w:val="24"/>
          <w:szCs w:val="24"/>
          <w:shd w:val="clear" w:color="auto" w:fill="FFFFFF"/>
          <w:lang w:val="uk-UA"/>
        </w:rPr>
        <w:t xml:space="preserve">           </w:t>
      </w:r>
      <w:r w:rsidR="00243C42">
        <w:rPr>
          <w:rFonts w:ascii="Times New Roman" w:hAnsi="Times New Roman"/>
          <w:color w:val="7030A0"/>
          <w:sz w:val="24"/>
          <w:szCs w:val="24"/>
          <w:shd w:val="clear" w:color="auto" w:fill="FFFFFF"/>
          <w:lang w:val="uk-UA"/>
        </w:rPr>
        <w:t xml:space="preserve"> </w:t>
      </w:r>
    </w:p>
    <w:p w:rsidR="00C2385B" w:rsidRPr="009C3B22" w:rsidRDefault="00C2385B" w:rsidP="00F63237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7030A0"/>
          <w:shd w:val="clear" w:color="auto" w:fill="FFFFFF"/>
          <w:lang w:val="uk-UA"/>
        </w:rPr>
      </w:pPr>
    </w:p>
    <w:p w:rsidR="007B5146" w:rsidRPr="00DF4D37" w:rsidRDefault="00F63237" w:rsidP="00C2385B">
      <w:pPr>
        <w:pStyle w:val="Default"/>
        <w:ind w:firstLine="709"/>
        <w:rPr>
          <w:bCs/>
          <w:color w:val="auto"/>
          <w:lang w:val="uk-UA"/>
        </w:rPr>
      </w:pPr>
      <w:r w:rsidRPr="00DF4D37">
        <w:rPr>
          <w:b/>
          <w:bCs/>
          <w:color w:val="auto"/>
          <w:lang w:val="uk-UA"/>
        </w:rPr>
        <w:t>Ключові слова:</w:t>
      </w:r>
      <w:r w:rsidR="00C2385B" w:rsidRPr="00DF4D37">
        <w:rPr>
          <w:b/>
          <w:bCs/>
          <w:color w:val="auto"/>
          <w:lang w:val="uk-UA"/>
        </w:rPr>
        <w:t xml:space="preserve"> </w:t>
      </w:r>
      <w:r w:rsidRPr="00DF4D37">
        <w:rPr>
          <w:bCs/>
          <w:color w:val="auto"/>
          <w:lang w:val="uk-UA"/>
        </w:rPr>
        <w:t xml:space="preserve">дикий виноград, </w:t>
      </w:r>
      <w:r w:rsidR="00D36409" w:rsidRPr="00DF4D37">
        <w:rPr>
          <w:bCs/>
          <w:color w:val="auto"/>
          <w:lang w:val="uk-UA"/>
        </w:rPr>
        <w:t xml:space="preserve"> сезонний розвиток, </w:t>
      </w:r>
      <w:proofErr w:type="spellStart"/>
      <w:r w:rsidRPr="00DF4D37">
        <w:rPr>
          <w:bCs/>
          <w:color w:val="auto"/>
          <w:lang w:val="uk-UA"/>
        </w:rPr>
        <w:t>фено</w:t>
      </w:r>
      <w:r w:rsidR="00D36409" w:rsidRPr="00DF4D37">
        <w:rPr>
          <w:bCs/>
          <w:color w:val="auto"/>
          <w:lang w:val="uk-UA"/>
        </w:rPr>
        <w:t>ритми</w:t>
      </w:r>
      <w:proofErr w:type="spellEnd"/>
      <w:r w:rsidR="00C2385B" w:rsidRPr="00DF4D37">
        <w:rPr>
          <w:bCs/>
          <w:color w:val="auto"/>
          <w:lang w:val="uk-UA"/>
        </w:rPr>
        <w:t>, колористика</w:t>
      </w:r>
      <w:r w:rsidR="00D36409" w:rsidRPr="00DF4D37">
        <w:rPr>
          <w:bCs/>
          <w:color w:val="auto"/>
          <w:lang w:val="uk-UA"/>
        </w:rPr>
        <w:t>.</w:t>
      </w:r>
    </w:p>
    <w:p w:rsidR="006140F6" w:rsidRPr="00DF4D37" w:rsidRDefault="006140F6" w:rsidP="00C2385B">
      <w:pPr>
        <w:pStyle w:val="Default"/>
        <w:ind w:firstLine="709"/>
        <w:rPr>
          <w:bCs/>
          <w:color w:val="auto"/>
          <w:sz w:val="20"/>
          <w:szCs w:val="20"/>
          <w:lang w:val="uk-UA"/>
        </w:rPr>
      </w:pPr>
    </w:p>
    <w:p w:rsidR="008700AD" w:rsidRPr="00DF4D37" w:rsidRDefault="008700AD" w:rsidP="008700AD">
      <w:pPr>
        <w:pStyle w:val="Default"/>
        <w:ind w:firstLine="709"/>
        <w:jc w:val="both"/>
        <w:rPr>
          <w:i/>
          <w:color w:val="auto"/>
          <w:spacing w:val="-2"/>
          <w:sz w:val="20"/>
          <w:szCs w:val="20"/>
          <w:lang w:val="uk-UA"/>
        </w:rPr>
      </w:pPr>
      <w:r w:rsidRPr="00DF4D37">
        <w:rPr>
          <w:i/>
          <w:color w:val="auto"/>
          <w:spacing w:val="-2"/>
          <w:sz w:val="20"/>
          <w:szCs w:val="20"/>
          <w:lang w:val="uk-UA"/>
        </w:rPr>
        <w:t xml:space="preserve">Досліджено сезонну динаміку колориту видів ліан роду </w:t>
      </w:r>
      <w:proofErr w:type="spellStart"/>
      <w:r w:rsidRPr="00DF4D37">
        <w:rPr>
          <w:i/>
          <w:iCs/>
          <w:color w:val="auto"/>
          <w:spacing w:val="-2"/>
          <w:sz w:val="20"/>
          <w:szCs w:val="20"/>
          <w:lang w:val="uk-UA"/>
        </w:rPr>
        <w:t>Parthenocissus</w:t>
      </w:r>
      <w:proofErr w:type="spellEnd"/>
      <w:r w:rsidRPr="00DF4D37">
        <w:rPr>
          <w:i/>
          <w:iCs/>
          <w:color w:val="auto"/>
          <w:spacing w:val="-2"/>
          <w:sz w:val="20"/>
          <w:szCs w:val="20"/>
          <w:lang w:val="uk-UA"/>
        </w:rPr>
        <w:t xml:space="preserve"> </w:t>
      </w:r>
      <w:proofErr w:type="spellStart"/>
      <w:r w:rsidRPr="00DF4D37">
        <w:rPr>
          <w:i/>
          <w:color w:val="auto"/>
          <w:spacing w:val="-2"/>
          <w:sz w:val="20"/>
          <w:szCs w:val="20"/>
          <w:lang w:val="uk-UA"/>
        </w:rPr>
        <w:t>Planch</w:t>
      </w:r>
      <w:proofErr w:type="spellEnd"/>
      <w:r w:rsidRPr="00DF4D37">
        <w:rPr>
          <w:i/>
          <w:color w:val="auto"/>
          <w:spacing w:val="-2"/>
          <w:sz w:val="20"/>
          <w:szCs w:val="20"/>
          <w:lang w:val="uk-UA"/>
        </w:rPr>
        <w:t xml:space="preserve">. з метою ефективного використання природної естетики рослин при ландшафтному проектуванні. Встановлено календарні дати і тривалість </w:t>
      </w:r>
      <w:proofErr w:type="spellStart"/>
      <w:r w:rsidRPr="00DF4D37">
        <w:rPr>
          <w:i/>
          <w:color w:val="auto"/>
          <w:spacing w:val="-2"/>
          <w:sz w:val="20"/>
          <w:szCs w:val="20"/>
          <w:lang w:val="uk-UA"/>
        </w:rPr>
        <w:t>феноперіоду</w:t>
      </w:r>
      <w:proofErr w:type="spellEnd"/>
      <w:r w:rsidRPr="00DF4D37">
        <w:rPr>
          <w:i/>
          <w:color w:val="auto"/>
          <w:spacing w:val="-2"/>
          <w:sz w:val="20"/>
          <w:szCs w:val="20"/>
          <w:lang w:val="uk-UA"/>
        </w:rPr>
        <w:t xml:space="preserve"> осіннього забарвлення листя та визначено колористичні особливості ліан вказаних видів.</w:t>
      </w:r>
    </w:p>
    <w:p w:rsidR="008700AD" w:rsidRPr="002D540A" w:rsidRDefault="002D540A" w:rsidP="008700AD">
      <w:pPr>
        <w:pStyle w:val="Default"/>
        <w:ind w:firstLine="709"/>
        <w:jc w:val="both"/>
        <w:rPr>
          <w:i/>
          <w:color w:val="auto"/>
          <w:spacing w:val="-2"/>
          <w:sz w:val="20"/>
          <w:szCs w:val="20"/>
          <w:lang w:val="uk-UA"/>
        </w:rPr>
      </w:pPr>
      <w:r w:rsidRPr="002D540A">
        <w:rPr>
          <w:i/>
          <w:color w:val="auto"/>
          <w:spacing w:val="-2"/>
          <w:sz w:val="20"/>
          <w:szCs w:val="20"/>
          <w:lang w:val="en-US"/>
        </w:rPr>
        <w:t xml:space="preserve">The seasonal dynamics of color of species of vines of the genus </w:t>
      </w:r>
      <w:proofErr w:type="spellStart"/>
      <w:r w:rsidRPr="002D540A">
        <w:rPr>
          <w:i/>
          <w:color w:val="auto"/>
          <w:spacing w:val="-2"/>
          <w:sz w:val="20"/>
          <w:szCs w:val="20"/>
          <w:lang w:val="en-US"/>
        </w:rPr>
        <w:t>Parthenocissus</w:t>
      </w:r>
      <w:proofErr w:type="spellEnd"/>
      <w:r w:rsidRPr="002D540A">
        <w:rPr>
          <w:i/>
          <w:color w:val="auto"/>
          <w:spacing w:val="-2"/>
          <w:sz w:val="20"/>
          <w:szCs w:val="20"/>
          <w:lang w:val="en-US"/>
        </w:rPr>
        <w:t xml:space="preserve"> </w:t>
      </w:r>
      <w:proofErr w:type="spellStart"/>
      <w:r w:rsidRPr="002D540A">
        <w:rPr>
          <w:i/>
          <w:color w:val="auto"/>
          <w:spacing w:val="-2"/>
          <w:sz w:val="20"/>
          <w:szCs w:val="20"/>
          <w:lang w:val="en-US"/>
        </w:rPr>
        <w:t>Planch</w:t>
      </w:r>
      <w:proofErr w:type="spellEnd"/>
      <w:r w:rsidRPr="002D540A">
        <w:rPr>
          <w:i/>
          <w:color w:val="auto"/>
          <w:spacing w:val="-2"/>
          <w:sz w:val="20"/>
          <w:szCs w:val="20"/>
          <w:lang w:val="en-US"/>
        </w:rPr>
        <w:t xml:space="preserve"> has been studied. </w:t>
      </w:r>
      <w:proofErr w:type="gramStart"/>
      <w:r w:rsidRPr="002D540A">
        <w:rPr>
          <w:i/>
          <w:color w:val="auto"/>
          <w:spacing w:val="-2"/>
          <w:sz w:val="20"/>
          <w:szCs w:val="20"/>
          <w:lang w:val="en-US"/>
        </w:rPr>
        <w:t>in</w:t>
      </w:r>
      <w:proofErr w:type="gramEnd"/>
      <w:r w:rsidRPr="002D540A">
        <w:rPr>
          <w:i/>
          <w:color w:val="auto"/>
          <w:spacing w:val="-2"/>
          <w:sz w:val="20"/>
          <w:szCs w:val="20"/>
          <w:lang w:val="en-US"/>
        </w:rPr>
        <w:t xml:space="preserve"> order to effectively use the natural aesthetics of plants in landscape design. The calendar dates and duration of the </w:t>
      </w:r>
      <w:proofErr w:type="spellStart"/>
      <w:r w:rsidRPr="002D540A">
        <w:rPr>
          <w:i/>
          <w:color w:val="auto"/>
          <w:spacing w:val="-2"/>
          <w:sz w:val="20"/>
          <w:szCs w:val="20"/>
          <w:lang w:val="en-US"/>
        </w:rPr>
        <w:t>phenoperiod</w:t>
      </w:r>
      <w:proofErr w:type="spellEnd"/>
      <w:r w:rsidRPr="002D540A">
        <w:rPr>
          <w:i/>
          <w:color w:val="auto"/>
          <w:spacing w:val="-2"/>
          <w:sz w:val="20"/>
          <w:szCs w:val="20"/>
          <w:lang w:val="en-US"/>
        </w:rPr>
        <w:t xml:space="preserve"> of autumn leaf colors and the color features of the vines of the specified species are determined</w:t>
      </w:r>
      <w:r w:rsidRPr="002D540A">
        <w:rPr>
          <w:i/>
          <w:color w:val="auto"/>
          <w:spacing w:val="-2"/>
          <w:sz w:val="20"/>
          <w:szCs w:val="20"/>
          <w:lang w:val="uk-UA"/>
        </w:rPr>
        <w:t>.</w:t>
      </w:r>
    </w:p>
    <w:p w:rsidR="006140F6" w:rsidRPr="00FD2AFF" w:rsidRDefault="006140F6" w:rsidP="00C2385B">
      <w:pPr>
        <w:pStyle w:val="Default"/>
        <w:ind w:firstLine="709"/>
        <w:rPr>
          <w:bCs/>
          <w:lang w:val="uk-UA"/>
        </w:rPr>
      </w:pPr>
    </w:p>
    <w:p w:rsidR="00DC14D1" w:rsidRPr="00243C42" w:rsidRDefault="00FD2AFF" w:rsidP="009C3B22">
      <w:pPr>
        <w:pStyle w:val="Default"/>
        <w:ind w:firstLine="709"/>
        <w:jc w:val="both"/>
        <w:rPr>
          <w:color w:val="auto"/>
          <w:lang w:val="uk-UA"/>
        </w:rPr>
      </w:pPr>
      <w:r w:rsidRPr="00243C42">
        <w:rPr>
          <w:bCs/>
          <w:color w:val="auto"/>
          <w:lang w:val="uk-UA"/>
        </w:rPr>
        <w:t>Максимальна декоративність ліан проявляється впродовж осіннього періоду, під</w:t>
      </w:r>
      <w:r w:rsidR="003652F7" w:rsidRPr="00243C42">
        <w:rPr>
          <w:bCs/>
          <w:color w:val="auto"/>
          <w:lang w:val="uk-UA"/>
        </w:rPr>
        <w:t xml:space="preserve"> </w:t>
      </w:r>
      <w:r w:rsidRPr="00243C42">
        <w:rPr>
          <w:bCs/>
          <w:color w:val="auto"/>
          <w:lang w:val="uk-UA"/>
        </w:rPr>
        <w:t xml:space="preserve">час поступової зміни забарвлення їх листяного апарату. </w:t>
      </w:r>
      <w:r w:rsidR="00117C28" w:rsidRPr="00243C42">
        <w:rPr>
          <w:color w:val="auto"/>
          <w:lang w:val="uk-UA"/>
        </w:rPr>
        <w:t xml:space="preserve">Сезонна динаміка колористики дикого винограду </w:t>
      </w:r>
      <w:r w:rsidR="003652F7" w:rsidRPr="00243C42">
        <w:rPr>
          <w:color w:val="auto"/>
          <w:lang w:val="uk-UA"/>
        </w:rPr>
        <w:t>(</w:t>
      </w:r>
      <w:proofErr w:type="spellStart"/>
      <w:r w:rsidR="003652F7" w:rsidRPr="00243C42">
        <w:rPr>
          <w:bCs/>
          <w:i/>
          <w:iCs/>
          <w:color w:val="auto"/>
          <w:lang w:val="uk-UA"/>
        </w:rPr>
        <w:t>Parthenocissus</w:t>
      </w:r>
      <w:proofErr w:type="spellEnd"/>
      <w:r w:rsidR="003652F7" w:rsidRPr="00243C42">
        <w:rPr>
          <w:bCs/>
          <w:i/>
          <w:iCs/>
          <w:color w:val="auto"/>
          <w:lang w:val="uk-UA"/>
        </w:rPr>
        <w:t xml:space="preserve"> </w:t>
      </w:r>
      <w:proofErr w:type="spellStart"/>
      <w:r w:rsidR="003652F7" w:rsidRPr="00243C42">
        <w:rPr>
          <w:bCs/>
          <w:color w:val="auto"/>
          <w:lang w:val="uk-UA"/>
        </w:rPr>
        <w:t>Planch</w:t>
      </w:r>
      <w:proofErr w:type="spellEnd"/>
      <w:r w:rsidR="003652F7" w:rsidRPr="00243C42">
        <w:rPr>
          <w:bCs/>
          <w:color w:val="auto"/>
          <w:lang w:val="uk-UA"/>
        </w:rPr>
        <w:t xml:space="preserve">.) </w:t>
      </w:r>
      <w:r w:rsidR="00117C28" w:rsidRPr="00243C42">
        <w:rPr>
          <w:color w:val="auto"/>
          <w:lang w:val="uk-UA"/>
        </w:rPr>
        <w:t>має визначальне значення</w:t>
      </w:r>
      <w:r w:rsidRPr="00243C42">
        <w:rPr>
          <w:color w:val="auto"/>
          <w:lang w:val="uk-UA"/>
        </w:rPr>
        <w:t xml:space="preserve"> як при створенні </w:t>
      </w:r>
      <w:r w:rsidR="00120C2B" w:rsidRPr="00243C42">
        <w:rPr>
          <w:color w:val="auto"/>
          <w:lang w:val="uk-UA"/>
        </w:rPr>
        <w:t xml:space="preserve">гармонійних </w:t>
      </w:r>
      <w:r w:rsidRPr="00243C42">
        <w:rPr>
          <w:color w:val="auto"/>
          <w:lang w:val="uk-UA"/>
        </w:rPr>
        <w:t>рослинних композицій, так і</w:t>
      </w:r>
      <w:r w:rsidR="00117C28" w:rsidRPr="00243C42">
        <w:rPr>
          <w:color w:val="auto"/>
          <w:lang w:val="uk-UA"/>
        </w:rPr>
        <w:t xml:space="preserve"> для естетичної оцінки об’єктів озеленення</w:t>
      </w:r>
      <w:r w:rsidRPr="00243C42">
        <w:rPr>
          <w:color w:val="auto"/>
          <w:lang w:val="uk-UA"/>
        </w:rPr>
        <w:t xml:space="preserve">. </w:t>
      </w:r>
      <w:r w:rsidR="009C3B22" w:rsidRPr="00243C42">
        <w:rPr>
          <w:color w:val="auto"/>
          <w:lang w:val="uk-UA"/>
        </w:rPr>
        <w:t xml:space="preserve">Дослідження проводили для найбільш поширених у м. Львові видів: </w:t>
      </w:r>
      <w:proofErr w:type="spellStart"/>
      <w:r w:rsidR="009C3B22" w:rsidRPr="00243C42">
        <w:rPr>
          <w:i/>
          <w:iCs/>
          <w:color w:val="auto"/>
          <w:lang w:val="uk-UA"/>
        </w:rPr>
        <w:t>Parthenocissus</w:t>
      </w:r>
      <w:proofErr w:type="spellEnd"/>
      <w:r w:rsidR="009C3B22" w:rsidRPr="00243C42">
        <w:rPr>
          <w:i/>
          <w:iCs/>
          <w:color w:val="auto"/>
          <w:lang w:val="uk-UA"/>
        </w:rPr>
        <w:t xml:space="preserve"> </w:t>
      </w:r>
      <w:proofErr w:type="spellStart"/>
      <w:r w:rsidR="009C3B22" w:rsidRPr="00243C42">
        <w:rPr>
          <w:i/>
          <w:iCs/>
          <w:color w:val="auto"/>
          <w:lang w:val="uk-UA"/>
        </w:rPr>
        <w:t>quinquefolia</w:t>
      </w:r>
      <w:proofErr w:type="spellEnd"/>
      <w:r w:rsidR="009C3B22" w:rsidRPr="00243C42">
        <w:rPr>
          <w:i/>
          <w:iCs/>
          <w:color w:val="auto"/>
          <w:lang w:val="uk-UA"/>
        </w:rPr>
        <w:t xml:space="preserve"> </w:t>
      </w:r>
      <w:r w:rsidR="009C3B22" w:rsidRPr="00243C42">
        <w:rPr>
          <w:color w:val="auto"/>
          <w:lang w:val="uk-UA"/>
        </w:rPr>
        <w:t>(</w:t>
      </w:r>
      <w:r w:rsidR="009C3B22" w:rsidRPr="00243C42">
        <w:rPr>
          <w:color w:val="auto"/>
        </w:rPr>
        <w:t>L</w:t>
      </w:r>
      <w:r w:rsidR="009C3B22" w:rsidRPr="00243C42">
        <w:rPr>
          <w:color w:val="auto"/>
          <w:lang w:val="uk-UA"/>
        </w:rPr>
        <w:t xml:space="preserve">.) </w:t>
      </w:r>
      <w:proofErr w:type="spellStart"/>
      <w:proofErr w:type="gramStart"/>
      <w:r w:rsidR="009C3B22" w:rsidRPr="00243C42">
        <w:rPr>
          <w:color w:val="auto"/>
          <w:lang w:val="en-US"/>
        </w:rPr>
        <w:t>Planch</w:t>
      </w:r>
      <w:proofErr w:type="spellEnd"/>
      <w:r w:rsidR="009C3B22" w:rsidRPr="00243C42">
        <w:rPr>
          <w:color w:val="auto"/>
          <w:lang w:val="uk-UA"/>
        </w:rPr>
        <w:t>.,</w:t>
      </w:r>
      <w:proofErr w:type="gramEnd"/>
      <w:r w:rsidR="009C3B22" w:rsidRPr="00243C42">
        <w:rPr>
          <w:color w:val="auto"/>
          <w:lang w:val="uk-UA"/>
        </w:rPr>
        <w:t xml:space="preserve"> </w:t>
      </w:r>
      <w:proofErr w:type="spellStart"/>
      <w:r w:rsidR="009C3B22" w:rsidRPr="00243C42">
        <w:rPr>
          <w:i/>
          <w:iCs/>
          <w:color w:val="auto"/>
          <w:lang w:val="uk-UA"/>
        </w:rPr>
        <w:t>Parthenocissus</w:t>
      </w:r>
      <w:proofErr w:type="spellEnd"/>
      <w:r w:rsidR="009C3B22" w:rsidRPr="00243C42">
        <w:rPr>
          <w:i/>
          <w:iCs/>
          <w:color w:val="auto"/>
          <w:lang w:val="uk-UA"/>
        </w:rPr>
        <w:t xml:space="preserve"> </w:t>
      </w:r>
      <w:proofErr w:type="spellStart"/>
      <w:r w:rsidR="009C3B22" w:rsidRPr="00243C42">
        <w:rPr>
          <w:i/>
          <w:iCs/>
          <w:color w:val="auto"/>
          <w:lang w:val="uk-UA"/>
        </w:rPr>
        <w:t>quinquefolia</w:t>
      </w:r>
      <w:proofErr w:type="spellEnd"/>
      <w:r w:rsidR="009C3B22" w:rsidRPr="00243C42">
        <w:rPr>
          <w:i/>
          <w:iCs/>
          <w:color w:val="auto"/>
          <w:lang w:val="uk-UA"/>
        </w:rPr>
        <w:t xml:space="preserve"> </w:t>
      </w:r>
      <w:proofErr w:type="spellStart"/>
      <w:r w:rsidR="009C3B22" w:rsidRPr="00243C42">
        <w:rPr>
          <w:color w:val="auto"/>
          <w:lang w:val="uk-UA"/>
        </w:rPr>
        <w:t>'Engelmanii'</w:t>
      </w:r>
      <w:proofErr w:type="spellEnd"/>
      <w:r w:rsidR="009C3B22" w:rsidRPr="00243C42">
        <w:rPr>
          <w:color w:val="auto"/>
          <w:lang w:val="uk-UA"/>
        </w:rPr>
        <w:t xml:space="preserve"> </w:t>
      </w:r>
      <w:r w:rsidR="009C3B22" w:rsidRPr="00243C42">
        <w:rPr>
          <w:color w:val="auto"/>
          <w:lang w:val="en-US"/>
        </w:rPr>
        <w:t>(</w:t>
      </w:r>
      <w:proofErr w:type="spellStart"/>
      <w:r w:rsidR="009C3B22" w:rsidRPr="00243C42">
        <w:rPr>
          <w:color w:val="auto"/>
          <w:lang w:val="en-US"/>
        </w:rPr>
        <w:t>Koehne</w:t>
      </w:r>
      <w:proofErr w:type="spellEnd"/>
      <w:r w:rsidR="009C3B22" w:rsidRPr="00243C42">
        <w:rPr>
          <w:color w:val="auto"/>
          <w:lang w:val="en-US"/>
        </w:rPr>
        <w:t xml:space="preserve"> et </w:t>
      </w:r>
      <w:proofErr w:type="spellStart"/>
      <w:r w:rsidR="009C3B22" w:rsidRPr="00243C42">
        <w:rPr>
          <w:color w:val="auto"/>
          <w:lang w:val="en-US"/>
        </w:rPr>
        <w:t>Graebn</w:t>
      </w:r>
      <w:proofErr w:type="spellEnd"/>
      <w:r w:rsidR="009C3B22" w:rsidRPr="00243C42">
        <w:rPr>
          <w:color w:val="auto"/>
          <w:lang w:val="en-US"/>
        </w:rPr>
        <w:t xml:space="preserve">.) </w:t>
      </w:r>
      <w:proofErr w:type="spellStart"/>
      <w:proofErr w:type="gramStart"/>
      <w:r w:rsidR="009C3B22" w:rsidRPr="00243C42">
        <w:rPr>
          <w:color w:val="auto"/>
          <w:lang w:val="en-US"/>
        </w:rPr>
        <w:t>Rehd</w:t>
      </w:r>
      <w:proofErr w:type="spellEnd"/>
      <w:r w:rsidR="009C3B22" w:rsidRPr="00243C42">
        <w:rPr>
          <w:color w:val="auto"/>
          <w:lang w:val="en-US"/>
        </w:rPr>
        <w:t>.</w:t>
      </w:r>
      <w:r w:rsidR="009C3B22" w:rsidRPr="00243C42">
        <w:rPr>
          <w:color w:val="auto"/>
          <w:lang w:val="uk-UA"/>
        </w:rPr>
        <w:t>,</w:t>
      </w:r>
      <w:proofErr w:type="gramEnd"/>
      <w:r w:rsidR="009C3B22" w:rsidRPr="00243C42">
        <w:rPr>
          <w:color w:val="auto"/>
          <w:lang w:val="uk-UA"/>
        </w:rPr>
        <w:t xml:space="preserve"> а також </w:t>
      </w:r>
      <w:proofErr w:type="spellStart"/>
      <w:r w:rsidR="009C3B22" w:rsidRPr="00243C42">
        <w:rPr>
          <w:i/>
          <w:iCs/>
          <w:color w:val="auto"/>
          <w:lang w:val="uk-UA"/>
        </w:rPr>
        <w:t>Parthenocissus</w:t>
      </w:r>
      <w:proofErr w:type="spellEnd"/>
      <w:r w:rsidR="009C3B22" w:rsidRPr="00243C42">
        <w:rPr>
          <w:i/>
          <w:iCs/>
          <w:color w:val="auto"/>
          <w:lang w:val="uk-UA"/>
        </w:rPr>
        <w:t xml:space="preserve"> </w:t>
      </w:r>
      <w:proofErr w:type="spellStart"/>
      <w:r w:rsidR="009C3B22" w:rsidRPr="00243C42">
        <w:rPr>
          <w:i/>
          <w:iCs/>
          <w:color w:val="auto"/>
          <w:lang w:val="uk-UA"/>
        </w:rPr>
        <w:t>tricuspidata</w:t>
      </w:r>
      <w:proofErr w:type="spellEnd"/>
      <w:r w:rsidR="009C3B22" w:rsidRPr="00243C42">
        <w:rPr>
          <w:i/>
          <w:iCs/>
          <w:color w:val="auto"/>
          <w:lang w:val="uk-UA"/>
        </w:rPr>
        <w:t xml:space="preserve"> </w:t>
      </w:r>
      <w:proofErr w:type="spellStart"/>
      <w:r w:rsidR="009C3B22" w:rsidRPr="00243C42">
        <w:rPr>
          <w:color w:val="auto"/>
          <w:lang w:val="uk-UA"/>
        </w:rPr>
        <w:t>'Veitchii'</w:t>
      </w:r>
      <w:proofErr w:type="spellEnd"/>
      <w:r w:rsidR="009C3B22" w:rsidRPr="00243C42">
        <w:rPr>
          <w:color w:val="auto"/>
          <w:lang w:val="uk-UA"/>
        </w:rPr>
        <w:t xml:space="preserve"> </w:t>
      </w:r>
      <w:r w:rsidR="009C3B22" w:rsidRPr="00243C42">
        <w:rPr>
          <w:color w:val="auto"/>
          <w:lang w:val="en-US"/>
        </w:rPr>
        <w:t>(</w:t>
      </w:r>
      <w:proofErr w:type="spellStart"/>
      <w:r w:rsidR="009C3B22" w:rsidRPr="00243C42">
        <w:rPr>
          <w:color w:val="auto"/>
          <w:lang w:val="en-US"/>
        </w:rPr>
        <w:t>Graebn</w:t>
      </w:r>
      <w:proofErr w:type="spellEnd"/>
      <w:r w:rsidR="009C3B22" w:rsidRPr="00243C42">
        <w:rPr>
          <w:color w:val="auto"/>
          <w:lang w:val="en-US"/>
        </w:rPr>
        <w:t xml:space="preserve">.) </w:t>
      </w:r>
      <w:proofErr w:type="spellStart"/>
      <w:proofErr w:type="gramStart"/>
      <w:r w:rsidR="009C3B22" w:rsidRPr="00243C42">
        <w:rPr>
          <w:color w:val="auto"/>
          <w:lang w:val="en-US"/>
        </w:rPr>
        <w:t>Rehd</w:t>
      </w:r>
      <w:proofErr w:type="spellEnd"/>
      <w:r w:rsidR="009C3B22" w:rsidRPr="00243C42">
        <w:rPr>
          <w:color w:val="auto"/>
          <w:lang w:val="en-US"/>
        </w:rPr>
        <w:t>.</w:t>
      </w:r>
      <w:proofErr w:type="gramEnd"/>
      <w:r w:rsidR="009C3B22" w:rsidRPr="00243C42">
        <w:rPr>
          <w:color w:val="auto"/>
          <w:lang w:val="en-US"/>
        </w:rPr>
        <w:t xml:space="preserve"> </w:t>
      </w:r>
      <w:proofErr w:type="spellStart"/>
      <w:r w:rsidR="00DC14D1" w:rsidRPr="00243C42">
        <w:rPr>
          <w:color w:val="auto"/>
          <w:lang w:val="uk-UA"/>
        </w:rPr>
        <w:t>Феноритми</w:t>
      </w:r>
      <w:proofErr w:type="spellEnd"/>
      <w:r w:rsidR="00DC14D1" w:rsidRPr="00243C42">
        <w:rPr>
          <w:color w:val="auto"/>
          <w:lang w:val="uk-UA"/>
        </w:rPr>
        <w:t xml:space="preserve"> ліан спостерігали </w:t>
      </w:r>
      <w:r w:rsidR="007B5146" w:rsidRPr="00243C42">
        <w:rPr>
          <w:color w:val="auto"/>
          <w:lang w:val="uk-UA"/>
        </w:rPr>
        <w:t>впродовж 2016-2018 років, використовуючи загальноприйняті методики [</w:t>
      </w:r>
      <w:r w:rsidR="009C3B22" w:rsidRPr="00243C42">
        <w:rPr>
          <w:color w:val="auto"/>
          <w:lang w:val="uk-UA"/>
        </w:rPr>
        <w:t>1, 2</w:t>
      </w:r>
      <w:r w:rsidR="007B5146" w:rsidRPr="00243C42">
        <w:rPr>
          <w:color w:val="auto"/>
          <w:lang w:val="uk-UA"/>
        </w:rPr>
        <w:t xml:space="preserve">]. </w:t>
      </w:r>
      <w:r w:rsidR="00DC14D1" w:rsidRPr="00243C42">
        <w:rPr>
          <w:color w:val="auto"/>
          <w:lang w:val="uk-UA"/>
        </w:rPr>
        <w:t>Для колористичного аналізу досліджуваних видів застосували методику оцінювання колориту ландшафту [</w:t>
      </w:r>
      <w:r w:rsidR="009C3B22" w:rsidRPr="00243C42">
        <w:rPr>
          <w:color w:val="auto"/>
          <w:lang w:val="uk-UA"/>
        </w:rPr>
        <w:t>4, 5</w:t>
      </w:r>
      <w:r w:rsidR="00DC14D1" w:rsidRPr="00243C42">
        <w:rPr>
          <w:color w:val="auto"/>
          <w:lang w:val="uk-UA"/>
        </w:rPr>
        <w:t>].</w:t>
      </w:r>
    </w:p>
    <w:p w:rsidR="007B5146" w:rsidRPr="00243C42" w:rsidRDefault="00054EAA" w:rsidP="009C3B22">
      <w:pPr>
        <w:tabs>
          <w:tab w:val="left" w:pos="3339"/>
          <w:tab w:val="left" w:pos="675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порівняльної оцінки сезонної </w:t>
      </w:r>
      <w:proofErr w:type="spellStart"/>
      <w:r w:rsidR="00243C42" w:rsidRPr="00243C42">
        <w:rPr>
          <w:rFonts w:eastAsia="Calibri"/>
          <w:sz w:val="24"/>
          <w:szCs w:val="24"/>
        </w:rPr>
        <w:t>феноритмік</w:t>
      </w:r>
      <w:r>
        <w:rPr>
          <w:sz w:val="24"/>
          <w:szCs w:val="24"/>
        </w:rPr>
        <w:t>и</w:t>
      </w:r>
      <w:proofErr w:type="spellEnd"/>
      <w:r w:rsidR="00243C42" w:rsidRPr="00243C42">
        <w:rPr>
          <w:sz w:val="24"/>
          <w:szCs w:val="24"/>
        </w:rPr>
        <w:t xml:space="preserve"> ліан</w:t>
      </w:r>
      <w:r>
        <w:rPr>
          <w:sz w:val="24"/>
          <w:szCs w:val="24"/>
        </w:rPr>
        <w:t xml:space="preserve"> в</w:t>
      </w:r>
      <w:r w:rsidR="003652F7" w:rsidRPr="00243C42">
        <w:rPr>
          <w:sz w:val="24"/>
          <w:szCs w:val="24"/>
        </w:rPr>
        <w:t xml:space="preserve"> </w:t>
      </w:r>
      <w:r w:rsidR="00243C42">
        <w:rPr>
          <w:sz w:val="24"/>
          <w:szCs w:val="24"/>
        </w:rPr>
        <w:t xml:space="preserve">даній </w:t>
      </w:r>
      <w:r w:rsidR="003652F7" w:rsidRPr="00243C42">
        <w:rPr>
          <w:sz w:val="24"/>
          <w:szCs w:val="24"/>
        </w:rPr>
        <w:t xml:space="preserve">роботі досліджено наступні фенофази: </w:t>
      </w:r>
      <w:r w:rsidR="00552D41" w:rsidRPr="00243C42">
        <w:rPr>
          <w:sz w:val="24"/>
          <w:szCs w:val="24"/>
        </w:rPr>
        <w:t>Л</w:t>
      </w:r>
      <w:r w:rsidR="00552D41" w:rsidRPr="00243C42">
        <w:rPr>
          <w:sz w:val="24"/>
          <w:szCs w:val="24"/>
          <w:vertAlign w:val="superscript"/>
        </w:rPr>
        <w:t xml:space="preserve">3 </w:t>
      </w:r>
      <w:r w:rsidR="00552D41" w:rsidRPr="00243C42">
        <w:rPr>
          <w:sz w:val="24"/>
          <w:szCs w:val="24"/>
        </w:rPr>
        <w:t>–</w:t>
      </w:r>
      <w:r w:rsidR="003652F7" w:rsidRPr="00243C42">
        <w:rPr>
          <w:sz w:val="24"/>
          <w:szCs w:val="24"/>
        </w:rPr>
        <w:t xml:space="preserve"> початок зміни забарвлення листя на характерне осіннє, </w:t>
      </w:r>
      <w:r w:rsidR="00552D41" w:rsidRPr="00243C42">
        <w:rPr>
          <w:sz w:val="24"/>
          <w:szCs w:val="24"/>
        </w:rPr>
        <w:t>5Л</w:t>
      </w:r>
      <w:r w:rsidR="00552D41" w:rsidRPr="00243C42">
        <w:rPr>
          <w:sz w:val="24"/>
          <w:szCs w:val="24"/>
          <w:vertAlign w:val="superscript"/>
        </w:rPr>
        <w:t>3</w:t>
      </w:r>
      <w:r w:rsidR="00552D41" w:rsidRPr="00243C42">
        <w:rPr>
          <w:sz w:val="24"/>
          <w:szCs w:val="24"/>
        </w:rPr>
        <w:t xml:space="preserve"> –</w:t>
      </w:r>
      <w:r w:rsidR="003652F7" w:rsidRPr="00243C42">
        <w:rPr>
          <w:sz w:val="24"/>
          <w:szCs w:val="24"/>
        </w:rPr>
        <w:t xml:space="preserve"> закінчення зміни забарвлення листя, </w:t>
      </w:r>
      <w:r w:rsidR="00552D41" w:rsidRPr="00243C42">
        <w:rPr>
          <w:sz w:val="24"/>
          <w:szCs w:val="24"/>
        </w:rPr>
        <w:t>5Л</w:t>
      </w:r>
      <w:r w:rsidR="00552D41" w:rsidRPr="00243C42">
        <w:rPr>
          <w:sz w:val="24"/>
          <w:szCs w:val="24"/>
          <w:vertAlign w:val="superscript"/>
        </w:rPr>
        <w:t>4</w:t>
      </w:r>
      <w:r w:rsidR="00552D41" w:rsidRPr="00243C42">
        <w:rPr>
          <w:sz w:val="24"/>
          <w:szCs w:val="24"/>
        </w:rPr>
        <w:t xml:space="preserve"> –</w:t>
      </w:r>
      <w:r w:rsidR="003652F7" w:rsidRPr="00243C42">
        <w:rPr>
          <w:sz w:val="24"/>
          <w:szCs w:val="24"/>
        </w:rPr>
        <w:t xml:space="preserve"> закінчення опадання листя. </w:t>
      </w:r>
      <w:r w:rsidR="001D5C50" w:rsidRPr="00243C42">
        <w:rPr>
          <w:sz w:val="24"/>
          <w:szCs w:val="24"/>
        </w:rPr>
        <w:t xml:space="preserve">Дати </w:t>
      </w:r>
      <w:r w:rsidR="007B5146" w:rsidRPr="00243C42">
        <w:rPr>
          <w:sz w:val="24"/>
          <w:szCs w:val="24"/>
        </w:rPr>
        <w:t>настання основних фенофаз</w:t>
      </w:r>
      <w:r w:rsidR="00071896" w:rsidRPr="00243C42">
        <w:rPr>
          <w:sz w:val="24"/>
          <w:szCs w:val="24"/>
        </w:rPr>
        <w:t xml:space="preserve"> осіннього періоду</w:t>
      </w:r>
      <w:r w:rsidR="007B5146" w:rsidRPr="00243C42">
        <w:rPr>
          <w:sz w:val="24"/>
          <w:szCs w:val="24"/>
        </w:rPr>
        <w:t>, а також та їх тривалість приведені в табл.</w:t>
      </w:r>
      <w:r w:rsidR="00071896" w:rsidRPr="00243C42">
        <w:rPr>
          <w:sz w:val="24"/>
          <w:szCs w:val="24"/>
        </w:rPr>
        <w:t>1.</w:t>
      </w:r>
      <w:r w:rsidR="007B5146" w:rsidRPr="00243C42">
        <w:rPr>
          <w:sz w:val="24"/>
          <w:szCs w:val="24"/>
        </w:rPr>
        <w:t xml:space="preserve"> </w:t>
      </w:r>
    </w:p>
    <w:p w:rsidR="003652F7" w:rsidRPr="00243C42" w:rsidRDefault="003652F7" w:rsidP="009948F7">
      <w:pPr>
        <w:pStyle w:val="Default"/>
        <w:ind w:firstLine="720"/>
        <w:jc w:val="center"/>
        <w:rPr>
          <w:i/>
          <w:iCs/>
          <w:color w:val="auto"/>
          <w:sz w:val="20"/>
          <w:szCs w:val="20"/>
          <w:lang w:val="uk-UA"/>
        </w:rPr>
      </w:pPr>
    </w:p>
    <w:p w:rsidR="009948F7" w:rsidRPr="00243C42" w:rsidRDefault="009948F7" w:rsidP="00243C42">
      <w:pPr>
        <w:pStyle w:val="Default"/>
        <w:spacing w:line="276" w:lineRule="auto"/>
        <w:jc w:val="center"/>
        <w:rPr>
          <w:b/>
          <w:bCs/>
          <w:color w:val="auto"/>
          <w:lang w:val="uk-UA"/>
        </w:rPr>
      </w:pPr>
      <w:r w:rsidRPr="00243C42">
        <w:rPr>
          <w:i/>
          <w:iCs/>
          <w:color w:val="auto"/>
          <w:lang w:val="uk-UA"/>
        </w:rPr>
        <w:t xml:space="preserve">Таблиця 1. </w:t>
      </w:r>
      <w:proofErr w:type="spellStart"/>
      <w:r w:rsidR="005A5EBD" w:rsidRPr="00243C42">
        <w:rPr>
          <w:b/>
          <w:bCs/>
          <w:color w:val="auto"/>
          <w:lang w:val="uk-UA"/>
        </w:rPr>
        <w:t>Феноритми</w:t>
      </w:r>
      <w:proofErr w:type="spellEnd"/>
      <w:r w:rsidR="005A5EBD" w:rsidRPr="00243C42">
        <w:rPr>
          <w:b/>
          <w:bCs/>
          <w:color w:val="auto"/>
          <w:lang w:val="uk-UA"/>
        </w:rPr>
        <w:t xml:space="preserve"> зміни кольору та опадання листя </w:t>
      </w:r>
      <w:r w:rsidRPr="00243C42">
        <w:rPr>
          <w:b/>
          <w:bCs/>
          <w:color w:val="auto"/>
          <w:lang w:val="uk-UA"/>
        </w:rPr>
        <w:t xml:space="preserve">ліан роду </w:t>
      </w:r>
      <w:proofErr w:type="spellStart"/>
      <w:r w:rsidRPr="00243C42">
        <w:rPr>
          <w:b/>
          <w:bCs/>
          <w:i/>
          <w:iCs/>
          <w:color w:val="auto"/>
          <w:lang w:val="uk-UA"/>
        </w:rPr>
        <w:t>Parthenocissus</w:t>
      </w:r>
      <w:proofErr w:type="spellEnd"/>
      <w:r w:rsidRPr="00243C42">
        <w:rPr>
          <w:b/>
          <w:bCs/>
          <w:i/>
          <w:iCs/>
          <w:color w:val="auto"/>
          <w:lang w:val="uk-UA"/>
        </w:rPr>
        <w:t xml:space="preserve"> </w:t>
      </w:r>
      <w:proofErr w:type="spellStart"/>
      <w:r w:rsidRPr="00243C42">
        <w:rPr>
          <w:b/>
          <w:bCs/>
          <w:color w:val="auto"/>
          <w:lang w:val="uk-UA"/>
        </w:rPr>
        <w:t>Planch</w:t>
      </w:r>
      <w:proofErr w:type="spellEnd"/>
      <w:r w:rsidRPr="00243C42">
        <w:rPr>
          <w:b/>
          <w:bCs/>
          <w:color w:val="auto"/>
          <w:lang w:val="uk-UA"/>
        </w:rPr>
        <w:t>.</w:t>
      </w:r>
    </w:p>
    <w:tbl>
      <w:tblPr>
        <w:tblStyle w:val="a3"/>
        <w:tblW w:w="975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81"/>
        <w:gridCol w:w="651"/>
        <w:gridCol w:w="29"/>
        <w:gridCol w:w="636"/>
        <w:gridCol w:w="60"/>
        <w:gridCol w:w="610"/>
        <w:gridCol w:w="449"/>
        <w:gridCol w:w="449"/>
        <w:gridCol w:w="657"/>
        <w:gridCol w:w="47"/>
        <w:gridCol w:w="610"/>
        <w:gridCol w:w="94"/>
        <w:gridCol w:w="566"/>
        <w:gridCol w:w="462"/>
        <w:gridCol w:w="464"/>
        <w:gridCol w:w="8"/>
        <w:gridCol w:w="655"/>
        <w:gridCol w:w="55"/>
        <w:gridCol w:w="609"/>
        <w:gridCol w:w="78"/>
        <w:gridCol w:w="585"/>
        <w:gridCol w:w="445"/>
        <w:gridCol w:w="452"/>
      </w:tblGrid>
      <w:tr w:rsidR="009948F7" w:rsidRPr="00243C42" w:rsidTr="00B30BFC">
        <w:trPr>
          <w:trHeight w:val="20"/>
          <w:jc w:val="center"/>
        </w:trPr>
        <w:tc>
          <w:tcPr>
            <w:tcW w:w="554" w:type="pct"/>
            <w:vMerge w:val="restart"/>
            <w:vAlign w:val="center"/>
          </w:tcPr>
          <w:p w:rsidR="009948F7" w:rsidRPr="00243C42" w:rsidRDefault="009948F7" w:rsidP="00B30BFC">
            <w:pPr>
              <w:pStyle w:val="Default"/>
              <w:jc w:val="center"/>
              <w:rPr>
                <w:color w:val="auto"/>
                <w:lang w:val="uk-UA"/>
              </w:rPr>
            </w:pPr>
            <w:bookmarkStart w:id="0" w:name="OLE_LINK1"/>
            <w:proofErr w:type="spellStart"/>
            <w:proofErr w:type="gramStart"/>
            <w:r w:rsidRPr="00243C42">
              <w:rPr>
                <w:color w:val="auto"/>
              </w:rPr>
              <w:t>Р</w:t>
            </w:r>
            <w:proofErr w:type="gramEnd"/>
            <w:r w:rsidRPr="00243C42">
              <w:rPr>
                <w:color w:val="auto"/>
              </w:rPr>
              <w:t>ік</w:t>
            </w:r>
            <w:proofErr w:type="spellEnd"/>
            <w:r w:rsidRPr="00243C42">
              <w:rPr>
                <w:color w:val="auto"/>
              </w:rPr>
              <w:t xml:space="preserve"> </w:t>
            </w:r>
            <w:proofErr w:type="spellStart"/>
            <w:r w:rsidRPr="00243C42">
              <w:rPr>
                <w:color w:val="auto"/>
              </w:rPr>
              <w:t>спосте</w:t>
            </w:r>
            <w:proofErr w:type="spellEnd"/>
            <w:r w:rsidRPr="00243C42">
              <w:rPr>
                <w:color w:val="auto"/>
                <w:lang w:val="uk-UA"/>
              </w:rPr>
              <w:t>-</w:t>
            </w:r>
            <w:proofErr w:type="spellStart"/>
            <w:r w:rsidRPr="00243C42">
              <w:rPr>
                <w:color w:val="auto"/>
              </w:rPr>
              <w:t>реження</w:t>
            </w:r>
            <w:proofErr w:type="spellEnd"/>
          </w:p>
        </w:tc>
        <w:tc>
          <w:tcPr>
            <w:tcW w:w="4446" w:type="pct"/>
            <w:gridSpan w:val="22"/>
            <w:vAlign w:val="center"/>
          </w:tcPr>
          <w:p w:rsidR="009948F7" w:rsidRPr="00243C42" w:rsidRDefault="009948F7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Найменування фенофаз</w:t>
            </w:r>
          </w:p>
        </w:tc>
      </w:tr>
      <w:tr w:rsidR="00B30BFC" w:rsidRPr="00243C42" w:rsidTr="00B30BFC">
        <w:trPr>
          <w:trHeight w:val="20"/>
          <w:jc w:val="center"/>
        </w:trPr>
        <w:tc>
          <w:tcPr>
            <w:tcW w:w="554" w:type="pct"/>
            <w:vMerge/>
            <w:vAlign w:val="center"/>
          </w:tcPr>
          <w:p w:rsidR="00B30BFC" w:rsidRPr="00243C42" w:rsidRDefault="00B30BFC" w:rsidP="00B30BF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7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5Л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3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5Л</w:t>
            </w:r>
            <w:r w:rsidRPr="00243C4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3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  <w:r w:rsidRPr="00243C42">
              <w:rPr>
                <w:sz w:val="22"/>
                <w:szCs w:val="22"/>
              </w:rPr>
              <w:t>-5Л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  <w:r w:rsidRPr="00243C42">
              <w:rPr>
                <w:sz w:val="22"/>
                <w:szCs w:val="22"/>
              </w:rPr>
              <w:t>-5Л</w:t>
            </w:r>
            <w:r w:rsidRPr="00243C4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1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1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5Л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5Л</w:t>
            </w:r>
            <w:r w:rsidRPr="00243C4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37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  <w:r w:rsidRPr="00243C42">
              <w:rPr>
                <w:sz w:val="22"/>
                <w:szCs w:val="22"/>
              </w:rPr>
              <w:t>-5Л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8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  <w:r w:rsidRPr="00243C42">
              <w:rPr>
                <w:sz w:val="22"/>
                <w:szCs w:val="22"/>
              </w:rPr>
              <w:t>-5Л</w:t>
            </w:r>
            <w:r w:rsidRPr="00243C4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8" w:type="pct"/>
            <w:gridSpan w:val="3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2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5Л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5Л</w:t>
            </w:r>
            <w:r w:rsidRPr="00243C4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8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  <w:r w:rsidRPr="00243C42">
              <w:rPr>
                <w:sz w:val="22"/>
                <w:szCs w:val="22"/>
              </w:rPr>
              <w:t>-5Л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2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Л</w:t>
            </w:r>
            <w:r w:rsidRPr="00243C42">
              <w:rPr>
                <w:sz w:val="22"/>
                <w:szCs w:val="22"/>
                <w:vertAlign w:val="superscript"/>
              </w:rPr>
              <w:t>3</w:t>
            </w:r>
            <w:r w:rsidRPr="00243C42">
              <w:rPr>
                <w:sz w:val="22"/>
                <w:szCs w:val="22"/>
              </w:rPr>
              <w:t>-5Л</w:t>
            </w:r>
            <w:r w:rsidRPr="00243C42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B30BFC" w:rsidRPr="00243C42" w:rsidTr="00B30BFC">
        <w:trPr>
          <w:trHeight w:val="20"/>
          <w:jc w:val="center"/>
        </w:trPr>
        <w:tc>
          <w:tcPr>
            <w:tcW w:w="554" w:type="pct"/>
            <w:vMerge/>
            <w:vAlign w:val="center"/>
          </w:tcPr>
          <w:p w:rsidR="00B30BFC" w:rsidRPr="00243C42" w:rsidRDefault="00B30BFC" w:rsidP="00B30BF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018" w:type="pct"/>
            <w:gridSpan w:val="5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43C42">
              <w:rPr>
                <w:sz w:val="24"/>
                <w:szCs w:val="24"/>
              </w:rPr>
              <w:t>фенодати</w:t>
            </w:r>
            <w:proofErr w:type="spellEnd"/>
          </w:p>
        </w:tc>
        <w:tc>
          <w:tcPr>
            <w:tcW w:w="46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лаг, діб</w:t>
            </w:r>
          </w:p>
        </w:tc>
        <w:tc>
          <w:tcPr>
            <w:tcW w:w="1012" w:type="pct"/>
            <w:gridSpan w:val="5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43C42">
              <w:rPr>
                <w:sz w:val="24"/>
                <w:szCs w:val="24"/>
              </w:rPr>
              <w:t>фенодати</w:t>
            </w:r>
            <w:proofErr w:type="spellEnd"/>
          </w:p>
        </w:tc>
        <w:tc>
          <w:tcPr>
            <w:tcW w:w="475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лаг, діб</w:t>
            </w:r>
          </w:p>
        </w:tc>
        <w:tc>
          <w:tcPr>
            <w:tcW w:w="1020" w:type="pct"/>
            <w:gridSpan w:val="6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43C42">
              <w:rPr>
                <w:sz w:val="24"/>
                <w:szCs w:val="24"/>
              </w:rPr>
              <w:t>фенодати</w:t>
            </w:r>
            <w:proofErr w:type="spellEnd"/>
          </w:p>
        </w:tc>
        <w:tc>
          <w:tcPr>
            <w:tcW w:w="46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лаг, діб</w:t>
            </w:r>
          </w:p>
        </w:tc>
      </w:tr>
      <w:tr w:rsidR="00B30BFC" w:rsidRPr="00243C42" w:rsidTr="00B30BFC">
        <w:trPr>
          <w:trHeight w:val="20"/>
          <w:jc w:val="center"/>
        </w:trPr>
        <w:tc>
          <w:tcPr>
            <w:tcW w:w="554" w:type="pct"/>
            <w:vMerge/>
            <w:vAlign w:val="center"/>
          </w:tcPr>
          <w:p w:rsidR="00B30BFC" w:rsidRPr="00243C42" w:rsidRDefault="00B30BFC" w:rsidP="00B30BF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479" w:type="pct"/>
            <w:gridSpan w:val="7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43C42">
              <w:rPr>
                <w:bCs/>
                <w:i/>
                <w:sz w:val="24"/>
                <w:szCs w:val="24"/>
              </w:rPr>
              <w:t>Parthenocissus</w:t>
            </w:r>
            <w:proofErr w:type="spellEnd"/>
            <w:r w:rsidRPr="00243C4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43C42">
              <w:rPr>
                <w:bCs/>
                <w:i/>
                <w:sz w:val="24"/>
                <w:szCs w:val="24"/>
              </w:rPr>
              <w:t>quinquefolia</w:t>
            </w:r>
            <w:proofErr w:type="spellEnd"/>
          </w:p>
        </w:tc>
        <w:tc>
          <w:tcPr>
            <w:tcW w:w="1491" w:type="pct"/>
            <w:gridSpan w:val="8"/>
            <w:vAlign w:val="center"/>
          </w:tcPr>
          <w:p w:rsidR="00B30BFC" w:rsidRPr="00243C42" w:rsidRDefault="00B30BFC" w:rsidP="00B30BFC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 w:rsidRPr="00243C42">
              <w:rPr>
                <w:bCs/>
                <w:i/>
                <w:color w:val="auto"/>
                <w:lang w:val="en-US"/>
              </w:rPr>
              <w:t>Parthenocissus</w:t>
            </w:r>
            <w:proofErr w:type="spellEnd"/>
            <w:r w:rsidRPr="00243C42">
              <w:rPr>
                <w:bCs/>
                <w:i/>
                <w:color w:val="auto"/>
                <w:lang w:val="en-US"/>
              </w:rPr>
              <w:t xml:space="preserve"> </w:t>
            </w:r>
            <w:proofErr w:type="spellStart"/>
            <w:r w:rsidRPr="00243C42">
              <w:rPr>
                <w:bCs/>
                <w:i/>
                <w:color w:val="auto"/>
                <w:lang w:val="en-US"/>
              </w:rPr>
              <w:t>quinquefolia</w:t>
            </w:r>
            <w:proofErr w:type="spellEnd"/>
            <w:r w:rsidRPr="00243C42">
              <w:rPr>
                <w:bCs/>
                <w:i/>
                <w:color w:val="auto"/>
                <w:lang w:val="en-US"/>
              </w:rPr>
              <w:t xml:space="preserve"> </w:t>
            </w:r>
            <w:r w:rsidRPr="00243C42">
              <w:rPr>
                <w:bCs/>
                <w:color w:val="auto"/>
                <w:lang w:val="en-US"/>
              </w:rPr>
              <w:t>'</w:t>
            </w:r>
            <w:proofErr w:type="spellStart"/>
            <w:r w:rsidRPr="00243C42">
              <w:rPr>
                <w:bCs/>
                <w:color w:val="auto"/>
                <w:lang w:val="en-US"/>
              </w:rPr>
              <w:t>Engelmanii</w:t>
            </w:r>
            <w:proofErr w:type="spellEnd"/>
            <w:r w:rsidRPr="00243C42">
              <w:rPr>
                <w:bCs/>
                <w:color w:val="auto"/>
                <w:lang w:val="en-US"/>
              </w:rPr>
              <w:t>'</w:t>
            </w:r>
          </w:p>
        </w:tc>
        <w:tc>
          <w:tcPr>
            <w:tcW w:w="1476" w:type="pct"/>
            <w:gridSpan w:val="7"/>
            <w:vAlign w:val="center"/>
          </w:tcPr>
          <w:p w:rsidR="00B30BFC" w:rsidRPr="00243C42" w:rsidRDefault="00B30BFC" w:rsidP="00B30BFC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 w:rsidRPr="00243C42">
              <w:rPr>
                <w:bCs/>
                <w:i/>
                <w:color w:val="auto"/>
              </w:rPr>
              <w:t>Parthenocissus</w:t>
            </w:r>
            <w:proofErr w:type="spellEnd"/>
            <w:r w:rsidRPr="00243C42">
              <w:rPr>
                <w:bCs/>
                <w:i/>
                <w:color w:val="auto"/>
              </w:rPr>
              <w:t xml:space="preserve"> </w:t>
            </w:r>
            <w:proofErr w:type="spellStart"/>
            <w:r w:rsidRPr="00243C42">
              <w:rPr>
                <w:bCs/>
                <w:i/>
                <w:color w:val="auto"/>
              </w:rPr>
              <w:t>tricuspiata</w:t>
            </w:r>
            <w:proofErr w:type="spellEnd"/>
            <w:r w:rsidRPr="00243C42">
              <w:rPr>
                <w:bCs/>
                <w:i/>
                <w:color w:val="auto"/>
              </w:rPr>
              <w:t xml:space="preserve"> </w:t>
            </w:r>
            <w:r w:rsidRPr="00243C42">
              <w:rPr>
                <w:bCs/>
                <w:color w:val="auto"/>
              </w:rPr>
              <w:t>'</w:t>
            </w:r>
            <w:proofErr w:type="spellStart"/>
            <w:r w:rsidRPr="00243C42">
              <w:rPr>
                <w:bCs/>
                <w:color w:val="auto"/>
              </w:rPr>
              <w:t>Veichii</w:t>
            </w:r>
            <w:proofErr w:type="spellEnd"/>
            <w:r w:rsidRPr="00243C42">
              <w:rPr>
                <w:bCs/>
                <w:color w:val="auto"/>
              </w:rPr>
              <w:t>'</w:t>
            </w:r>
          </w:p>
        </w:tc>
      </w:tr>
      <w:tr w:rsidR="00B30BFC" w:rsidRPr="00243C42" w:rsidTr="00355F8A">
        <w:trPr>
          <w:trHeight w:val="47"/>
          <w:jc w:val="center"/>
        </w:trPr>
        <w:tc>
          <w:tcPr>
            <w:tcW w:w="554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34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21.8</w:t>
            </w:r>
          </w:p>
        </w:tc>
        <w:tc>
          <w:tcPr>
            <w:tcW w:w="341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12.10</w:t>
            </w:r>
          </w:p>
        </w:tc>
        <w:tc>
          <w:tcPr>
            <w:tcW w:w="344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23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52</w:t>
            </w:r>
          </w:p>
        </w:tc>
        <w:tc>
          <w:tcPr>
            <w:tcW w:w="23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37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23.8</w:t>
            </w:r>
          </w:p>
        </w:tc>
        <w:tc>
          <w:tcPr>
            <w:tcW w:w="337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10.10</w:t>
            </w:r>
          </w:p>
        </w:tc>
        <w:tc>
          <w:tcPr>
            <w:tcW w:w="338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11.11</w:t>
            </w:r>
          </w:p>
        </w:tc>
        <w:tc>
          <w:tcPr>
            <w:tcW w:w="237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48</w:t>
            </w:r>
          </w:p>
        </w:tc>
        <w:tc>
          <w:tcPr>
            <w:tcW w:w="238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4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12.9</w:t>
            </w:r>
          </w:p>
        </w:tc>
        <w:tc>
          <w:tcPr>
            <w:tcW w:w="34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21.10</w:t>
            </w:r>
          </w:p>
        </w:tc>
        <w:tc>
          <w:tcPr>
            <w:tcW w:w="34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228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39</w:t>
            </w:r>
          </w:p>
        </w:tc>
        <w:tc>
          <w:tcPr>
            <w:tcW w:w="232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52</w:t>
            </w:r>
          </w:p>
        </w:tc>
      </w:tr>
      <w:tr w:rsidR="00B30BFC" w:rsidRPr="00243C42" w:rsidTr="00355F8A">
        <w:trPr>
          <w:trHeight w:val="47"/>
          <w:jc w:val="center"/>
        </w:trPr>
        <w:tc>
          <w:tcPr>
            <w:tcW w:w="554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334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28.8</w:t>
            </w:r>
          </w:p>
        </w:tc>
        <w:tc>
          <w:tcPr>
            <w:tcW w:w="341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19.10</w:t>
            </w:r>
          </w:p>
        </w:tc>
        <w:tc>
          <w:tcPr>
            <w:tcW w:w="344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23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52</w:t>
            </w:r>
          </w:p>
        </w:tc>
        <w:tc>
          <w:tcPr>
            <w:tcW w:w="23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37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29.8</w:t>
            </w:r>
          </w:p>
        </w:tc>
        <w:tc>
          <w:tcPr>
            <w:tcW w:w="337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21.10</w:t>
            </w:r>
          </w:p>
        </w:tc>
        <w:tc>
          <w:tcPr>
            <w:tcW w:w="338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14.11</w:t>
            </w:r>
          </w:p>
        </w:tc>
        <w:tc>
          <w:tcPr>
            <w:tcW w:w="237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53</w:t>
            </w:r>
          </w:p>
        </w:tc>
        <w:tc>
          <w:tcPr>
            <w:tcW w:w="238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4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15.9</w:t>
            </w:r>
          </w:p>
        </w:tc>
        <w:tc>
          <w:tcPr>
            <w:tcW w:w="34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25.10</w:t>
            </w:r>
          </w:p>
        </w:tc>
        <w:tc>
          <w:tcPr>
            <w:tcW w:w="34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228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40</w:t>
            </w:r>
          </w:p>
        </w:tc>
        <w:tc>
          <w:tcPr>
            <w:tcW w:w="232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56</w:t>
            </w:r>
          </w:p>
        </w:tc>
      </w:tr>
      <w:tr w:rsidR="00B30BFC" w:rsidRPr="00243C42" w:rsidTr="00355F8A">
        <w:trPr>
          <w:trHeight w:val="47"/>
          <w:jc w:val="center"/>
        </w:trPr>
        <w:tc>
          <w:tcPr>
            <w:tcW w:w="554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334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15.8</w:t>
            </w:r>
          </w:p>
        </w:tc>
        <w:tc>
          <w:tcPr>
            <w:tcW w:w="341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344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28.10</w:t>
            </w:r>
          </w:p>
        </w:tc>
        <w:tc>
          <w:tcPr>
            <w:tcW w:w="23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47</w:t>
            </w:r>
          </w:p>
        </w:tc>
        <w:tc>
          <w:tcPr>
            <w:tcW w:w="230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37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17.8</w:t>
            </w:r>
          </w:p>
        </w:tc>
        <w:tc>
          <w:tcPr>
            <w:tcW w:w="337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338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30.10</w:t>
            </w:r>
          </w:p>
        </w:tc>
        <w:tc>
          <w:tcPr>
            <w:tcW w:w="237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46</w:t>
            </w:r>
          </w:p>
        </w:tc>
        <w:tc>
          <w:tcPr>
            <w:tcW w:w="238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4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24.8</w:t>
            </w:r>
          </w:p>
        </w:tc>
        <w:tc>
          <w:tcPr>
            <w:tcW w:w="34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6.10</w:t>
            </w:r>
          </w:p>
        </w:tc>
        <w:tc>
          <w:tcPr>
            <w:tcW w:w="340" w:type="pct"/>
            <w:gridSpan w:val="2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228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sz w:val="24"/>
                <w:szCs w:val="24"/>
              </w:rPr>
              <w:t>43</w:t>
            </w:r>
          </w:p>
        </w:tc>
        <w:tc>
          <w:tcPr>
            <w:tcW w:w="232" w:type="pct"/>
            <w:vAlign w:val="center"/>
          </w:tcPr>
          <w:p w:rsidR="00B30BFC" w:rsidRPr="00243C42" w:rsidRDefault="00B30BFC" w:rsidP="00B30BFC">
            <w:pPr>
              <w:ind w:firstLine="0"/>
              <w:jc w:val="center"/>
              <w:rPr>
                <w:sz w:val="24"/>
                <w:szCs w:val="24"/>
              </w:rPr>
            </w:pPr>
            <w:r w:rsidRPr="00243C42">
              <w:rPr>
                <w:bCs/>
                <w:sz w:val="24"/>
                <w:szCs w:val="24"/>
              </w:rPr>
              <w:t>71</w:t>
            </w:r>
          </w:p>
        </w:tc>
      </w:tr>
    </w:tbl>
    <w:p w:rsidR="00FD2AFF" w:rsidRPr="00243C42" w:rsidRDefault="00FD2AFF" w:rsidP="00117C28">
      <w:pPr>
        <w:pStyle w:val="Default"/>
        <w:ind w:firstLine="720"/>
        <w:jc w:val="both"/>
        <w:rPr>
          <w:iCs/>
          <w:color w:val="auto"/>
          <w:sz w:val="20"/>
          <w:szCs w:val="20"/>
          <w:lang w:val="uk-UA"/>
        </w:rPr>
      </w:pPr>
      <w:bookmarkStart w:id="1" w:name="_GoBack"/>
      <w:bookmarkEnd w:id="0"/>
      <w:bookmarkEnd w:id="1"/>
    </w:p>
    <w:p w:rsidR="007B5146" w:rsidRPr="005A5EBD" w:rsidRDefault="00117C28" w:rsidP="00117C28">
      <w:pPr>
        <w:pStyle w:val="Default"/>
        <w:ind w:firstLine="720"/>
        <w:jc w:val="both"/>
        <w:rPr>
          <w:color w:val="auto"/>
          <w:lang w:val="uk-UA"/>
        </w:rPr>
      </w:pPr>
      <w:r w:rsidRPr="00243C42">
        <w:rPr>
          <w:iCs/>
          <w:color w:val="auto"/>
          <w:lang w:val="uk-UA"/>
        </w:rPr>
        <w:t xml:space="preserve">Декоративність </w:t>
      </w:r>
      <w:r w:rsidR="00B30BFC" w:rsidRPr="00243C42">
        <w:rPr>
          <w:iCs/>
          <w:color w:val="auto"/>
          <w:lang w:val="uk-UA"/>
        </w:rPr>
        <w:t>дикого винограду</w:t>
      </w:r>
      <w:r w:rsidR="00355F8A" w:rsidRPr="00243C42">
        <w:rPr>
          <w:iCs/>
          <w:color w:val="auto"/>
          <w:lang w:val="uk-UA"/>
        </w:rPr>
        <w:t xml:space="preserve"> внаслідок зміни осіннього забарвлення листя</w:t>
      </w:r>
      <w:r w:rsidR="00B30BFC" w:rsidRPr="00243C42">
        <w:rPr>
          <w:iCs/>
          <w:color w:val="auto"/>
          <w:lang w:val="uk-UA"/>
        </w:rPr>
        <w:t xml:space="preserve"> зберігається впродовж тр</w:t>
      </w:r>
      <w:r w:rsidR="00355F8A" w:rsidRPr="00243C42">
        <w:rPr>
          <w:iCs/>
          <w:color w:val="auto"/>
          <w:lang w:val="uk-UA"/>
        </w:rPr>
        <w:t xml:space="preserve">ивалого часу. </w:t>
      </w:r>
      <w:r w:rsidR="007B5146" w:rsidRPr="00243C42">
        <w:rPr>
          <w:i/>
          <w:iCs/>
          <w:color w:val="auto"/>
          <w:lang w:val="uk-UA"/>
        </w:rPr>
        <w:t xml:space="preserve">Для P. </w:t>
      </w:r>
      <w:proofErr w:type="spellStart"/>
      <w:r w:rsidR="007B5146" w:rsidRPr="00243C42">
        <w:rPr>
          <w:i/>
          <w:iCs/>
          <w:color w:val="auto"/>
          <w:lang w:val="uk-UA"/>
        </w:rPr>
        <w:t>quinquefolia</w:t>
      </w:r>
      <w:proofErr w:type="spellEnd"/>
      <w:r w:rsidR="007B5146" w:rsidRPr="00243C42">
        <w:rPr>
          <w:i/>
          <w:iCs/>
          <w:color w:val="auto"/>
          <w:lang w:val="uk-UA"/>
        </w:rPr>
        <w:t xml:space="preserve"> </w:t>
      </w:r>
      <w:r w:rsidR="007B5146" w:rsidRPr="00243C42">
        <w:rPr>
          <w:color w:val="auto"/>
          <w:lang w:val="uk-UA"/>
        </w:rPr>
        <w:t xml:space="preserve">та </w:t>
      </w:r>
      <w:r w:rsidR="007B5146" w:rsidRPr="00243C42">
        <w:rPr>
          <w:i/>
          <w:iCs/>
          <w:color w:val="auto"/>
          <w:lang w:val="uk-UA"/>
        </w:rPr>
        <w:t xml:space="preserve">P. q. </w:t>
      </w:r>
      <w:proofErr w:type="spellStart"/>
      <w:r w:rsidR="009C3B22" w:rsidRPr="00243C42">
        <w:rPr>
          <w:color w:val="auto"/>
          <w:lang w:val="uk-UA"/>
        </w:rPr>
        <w:t>'</w:t>
      </w:r>
      <w:r w:rsidR="007B5146" w:rsidRPr="00243C42">
        <w:rPr>
          <w:color w:val="auto"/>
          <w:lang w:val="uk-UA"/>
        </w:rPr>
        <w:t>Engelmanii</w:t>
      </w:r>
      <w:r w:rsidR="009C3B22" w:rsidRPr="00243C42">
        <w:rPr>
          <w:color w:val="auto"/>
          <w:lang w:val="uk-UA"/>
        </w:rPr>
        <w:t>'</w:t>
      </w:r>
      <w:proofErr w:type="spellEnd"/>
      <w:r w:rsidR="007B5146" w:rsidRPr="00243C42">
        <w:rPr>
          <w:color w:val="auto"/>
          <w:lang w:val="uk-UA"/>
        </w:rPr>
        <w:t xml:space="preserve"> ця фенофаза починається в </w:t>
      </w:r>
      <w:r w:rsidR="00FD5C7F" w:rsidRPr="00243C42">
        <w:rPr>
          <w:color w:val="auto"/>
          <w:lang w:val="uk-UA"/>
        </w:rPr>
        <w:t>ще наприкінці</w:t>
      </w:r>
      <w:r w:rsidR="007B5146" w:rsidRPr="00243C42">
        <w:rPr>
          <w:color w:val="auto"/>
          <w:lang w:val="uk-UA"/>
        </w:rPr>
        <w:t xml:space="preserve"> серпня і триває до початку жовтня (близько 50 діб), а для </w:t>
      </w:r>
      <w:r w:rsidR="007B5146" w:rsidRPr="00243C42">
        <w:rPr>
          <w:i/>
          <w:iCs/>
          <w:color w:val="auto"/>
          <w:lang w:val="uk-UA"/>
        </w:rPr>
        <w:t xml:space="preserve">P. </w:t>
      </w:r>
      <w:proofErr w:type="spellStart"/>
      <w:r w:rsidR="007B5146" w:rsidRPr="00243C42">
        <w:rPr>
          <w:i/>
          <w:iCs/>
          <w:color w:val="auto"/>
          <w:lang w:val="uk-UA"/>
        </w:rPr>
        <w:t>tricuspidata</w:t>
      </w:r>
      <w:proofErr w:type="spellEnd"/>
      <w:r w:rsidR="007B5146" w:rsidRPr="00243C42">
        <w:rPr>
          <w:i/>
          <w:iCs/>
          <w:color w:val="auto"/>
          <w:lang w:val="uk-UA"/>
        </w:rPr>
        <w:t xml:space="preserve"> </w:t>
      </w:r>
      <w:proofErr w:type="spellStart"/>
      <w:r w:rsidR="009C3B22" w:rsidRPr="00243C42">
        <w:rPr>
          <w:color w:val="auto"/>
          <w:lang w:val="uk-UA"/>
        </w:rPr>
        <w:t>'</w:t>
      </w:r>
      <w:r w:rsidR="007B5146" w:rsidRPr="00243C42">
        <w:rPr>
          <w:color w:val="auto"/>
          <w:lang w:val="uk-UA"/>
        </w:rPr>
        <w:t>Veitchii</w:t>
      </w:r>
      <w:r w:rsidR="009C3B22" w:rsidRPr="00243C42">
        <w:rPr>
          <w:color w:val="auto"/>
          <w:lang w:val="uk-UA"/>
        </w:rPr>
        <w:t>'</w:t>
      </w:r>
      <w:proofErr w:type="spellEnd"/>
      <w:r w:rsidR="007B5146" w:rsidRPr="00243C42">
        <w:rPr>
          <w:color w:val="auto"/>
          <w:lang w:val="uk-UA"/>
        </w:rPr>
        <w:t xml:space="preserve"> – в першій декаді вересня і триває до другої декади жовтня (</w:t>
      </w:r>
      <w:r w:rsidR="00355F8A" w:rsidRPr="00243C42">
        <w:rPr>
          <w:color w:val="auto"/>
          <w:lang w:val="uk-UA"/>
        </w:rPr>
        <w:t>близько 40 діб)</w:t>
      </w:r>
      <w:r w:rsidR="007B5146" w:rsidRPr="00243C42">
        <w:rPr>
          <w:color w:val="auto"/>
          <w:lang w:val="uk-UA"/>
        </w:rPr>
        <w:t xml:space="preserve">. </w:t>
      </w:r>
      <w:r w:rsidR="00355F8A" w:rsidRPr="00243C42">
        <w:rPr>
          <w:color w:val="auto"/>
          <w:lang w:val="uk-UA"/>
        </w:rPr>
        <w:t xml:space="preserve">Це період </w:t>
      </w:r>
      <w:r w:rsidR="00FD5C7F" w:rsidRPr="00243C42">
        <w:rPr>
          <w:color w:val="auto"/>
          <w:lang w:val="uk-UA"/>
        </w:rPr>
        <w:t>максимальної декоративності ліан.</w:t>
      </w:r>
      <w:r w:rsidR="00355F8A" w:rsidRPr="00243C42">
        <w:rPr>
          <w:iCs/>
          <w:color w:val="auto"/>
          <w:lang w:val="uk-UA"/>
        </w:rPr>
        <w:t xml:space="preserve"> </w:t>
      </w:r>
      <w:r w:rsidR="005C3A7E" w:rsidRPr="00243C42">
        <w:rPr>
          <w:color w:val="auto"/>
          <w:lang w:val="uk-UA"/>
        </w:rPr>
        <w:t xml:space="preserve">Проте </w:t>
      </w:r>
      <w:r w:rsidRPr="00243C42">
        <w:rPr>
          <w:color w:val="auto"/>
          <w:lang w:val="uk-UA"/>
        </w:rPr>
        <w:t>цей ефект</w:t>
      </w:r>
      <w:r w:rsidR="005C3A7E" w:rsidRPr="00243C42">
        <w:rPr>
          <w:color w:val="auto"/>
          <w:lang w:val="uk-UA"/>
        </w:rPr>
        <w:t xml:space="preserve"> зберігається і під час листопаду, який</w:t>
      </w:r>
      <w:r w:rsidR="007B5146" w:rsidRPr="00243C42">
        <w:rPr>
          <w:color w:val="auto"/>
          <w:lang w:val="uk-UA"/>
        </w:rPr>
        <w:t xml:space="preserve"> відбувається з другої декади жовтня до першої декади листопада впродовж 18-20 діб.</w:t>
      </w:r>
      <w:r w:rsidR="005C3A7E" w:rsidRPr="00243C42">
        <w:rPr>
          <w:color w:val="auto"/>
          <w:lang w:val="uk-UA"/>
        </w:rPr>
        <w:t xml:space="preserve"> </w:t>
      </w:r>
      <w:r w:rsidR="00FD5C7F" w:rsidRPr="00243C42">
        <w:rPr>
          <w:color w:val="auto"/>
          <w:lang w:val="uk-UA"/>
        </w:rPr>
        <w:t>Таким чином, можна вва</w:t>
      </w:r>
      <w:r w:rsidR="005C3A7E" w:rsidRPr="00243C42">
        <w:rPr>
          <w:color w:val="auto"/>
          <w:lang w:val="uk-UA"/>
        </w:rPr>
        <w:t>ж</w:t>
      </w:r>
      <w:r w:rsidR="00FD5C7F" w:rsidRPr="00243C42">
        <w:rPr>
          <w:color w:val="auto"/>
          <w:lang w:val="uk-UA"/>
        </w:rPr>
        <w:t xml:space="preserve">ати що </w:t>
      </w:r>
      <w:r w:rsidR="005C3A7E" w:rsidRPr="00243C42">
        <w:rPr>
          <w:color w:val="auto"/>
          <w:lang w:val="uk-UA"/>
        </w:rPr>
        <w:t xml:space="preserve">весь період осінньої </w:t>
      </w:r>
      <w:r w:rsidR="00FD5C7F" w:rsidRPr="00243C42">
        <w:rPr>
          <w:color w:val="auto"/>
          <w:lang w:val="uk-UA"/>
        </w:rPr>
        <w:t xml:space="preserve">декоративність </w:t>
      </w:r>
      <w:r w:rsidR="005C3A7E" w:rsidRPr="00243C42">
        <w:rPr>
          <w:iCs/>
          <w:color w:val="auto"/>
          <w:lang w:val="uk-UA"/>
        </w:rPr>
        <w:t>для</w:t>
      </w:r>
      <w:r w:rsidR="005C3A7E" w:rsidRPr="005A5EBD">
        <w:rPr>
          <w:i/>
          <w:iCs/>
          <w:color w:val="auto"/>
          <w:lang w:val="uk-UA"/>
        </w:rPr>
        <w:t xml:space="preserve"> P. </w:t>
      </w:r>
      <w:proofErr w:type="spellStart"/>
      <w:r w:rsidR="005C3A7E" w:rsidRPr="005A5EBD">
        <w:rPr>
          <w:i/>
          <w:iCs/>
          <w:color w:val="auto"/>
          <w:lang w:val="uk-UA"/>
        </w:rPr>
        <w:t>quinquefolia</w:t>
      </w:r>
      <w:proofErr w:type="spellEnd"/>
      <w:r w:rsidR="005C3A7E" w:rsidRPr="005A5EBD">
        <w:rPr>
          <w:i/>
          <w:iCs/>
          <w:color w:val="auto"/>
          <w:lang w:val="uk-UA"/>
        </w:rPr>
        <w:t xml:space="preserve"> </w:t>
      </w:r>
      <w:r w:rsidR="005C3A7E" w:rsidRPr="005A5EBD">
        <w:rPr>
          <w:color w:val="auto"/>
          <w:lang w:val="uk-UA"/>
        </w:rPr>
        <w:t xml:space="preserve">та </w:t>
      </w:r>
      <w:r w:rsidR="005C3A7E" w:rsidRPr="005A5EBD">
        <w:rPr>
          <w:i/>
          <w:iCs/>
          <w:color w:val="auto"/>
          <w:lang w:val="uk-UA"/>
        </w:rPr>
        <w:t xml:space="preserve">P. q. </w:t>
      </w:r>
      <w:proofErr w:type="spellStart"/>
      <w:r w:rsidR="009C3B22" w:rsidRPr="005A5EBD">
        <w:rPr>
          <w:color w:val="auto"/>
          <w:lang w:val="uk-UA"/>
        </w:rPr>
        <w:t>'</w:t>
      </w:r>
      <w:r w:rsidR="005C3A7E" w:rsidRPr="005A5EBD">
        <w:rPr>
          <w:color w:val="auto"/>
          <w:lang w:val="uk-UA"/>
        </w:rPr>
        <w:t>Engelmanii</w:t>
      </w:r>
      <w:r w:rsidR="009C3B22" w:rsidRPr="005A5EBD">
        <w:rPr>
          <w:color w:val="auto"/>
          <w:lang w:val="uk-UA"/>
        </w:rPr>
        <w:t>'</w:t>
      </w:r>
      <w:proofErr w:type="spellEnd"/>
      <w:r w:rsidR="005C3A7E" w:rsidRPr="005A5EBD">
        <w:rPr>
          <w:color w:val="auto"/>
          <w:lang w:val="uk-UA"/>
        </w:rPr>
        <w:t xml:space="preserve"> становить 74-80 діб, а для </w:t>
      </w:r>
      <w:r w:rsidR="005C3A7E" w:rsidRPr="005A5EBD">
        <w:rPr>
          <w:i/>
          <w:iCs/>
          <w:color w:val="auto"/>
          <w:lang w:val="uk-UA"/>
        </w:rPr>
        <w:t xml:space="preserve">P. </w:t>
      </w:r>
      <w:proofErr w:type="spellStart"/>
      <w:r w:rsidR="005C3A7E" w:rsidRPr="005A5EBD">
        <w:rPr>
          <w:i/>
          <w:iCs/>
          <w:color w:val="auto"/>
          <w:lang w:val="uk-UA"/>
        </w:rPr>
        <w:t>tricuspidata</w:t>
      </w:r>
      <w:proofErr w:type="spellEnd"/>
      <w:r w:rsidR="005C3A7E" w:rsidRPr="005A5EBD">
        <w:rPr>
          <w:i/>
          <w:iCs/>
          <w:color w:val="auto"/>
          <w:lang w:val="uk-UA"/>
        </w:rPr>
        <w:t xml:space="preserve"> </w:t>
      </w:r>
      <w:proofErr w:type="spellStart"/>
      <w:r w:rsidR="009C3B22" w:rsidRPr="005A5EBD">
        <w:rPr>
          <w:color w:val="auto"/>
          <w:lang w:val="uk-UA"/>
        </w:rPr>
        <w:t>'</w:t>
      </w:r>
      <w:r w:rsidR="005C3A7E" w:rsidRPr="005A5EBD">
        <w:rPr>
          <w:color w:val="auto"/>
          <w:lang w:val="uk-UA"/>
        </w:rPr>
        <w:t>Veitchii</w:t>
      </w:r>
      <w:r w:rsidR="009C3B22" w:rsidRPr="005A5EBD">
        <w:rPr>
          <w:color w:val="auto"/>
          <w:lang w:val="uk-UA"/>
        </w:rPr>
        <w:t>'</w:t>
      </w:r>
      <w:proofErr w:type="spellEnd"/>
      <w:r w:rsidR="005C3A7E" w:rsidRPr="005A5EBD">
        <w:rPr>
          <w:color w:val="auto"/>
          <w:lang w:val="uk-UA"/>
        </w:rPr>
        <w:t xml:space="preserve"> – 52-71 </w:t>
      </w:r>
      <w:r w:rsidR="005C3A7E" w:rsidRPr="005A5EBD">
        <w:rPr>
          <w:color w:val="auto"/>
          <w:lang w:val="uk-UA"/>
        </w:rPr>
        <w:lastRenderedPageBreak/>
        <w:t>добу.</w:t>
      </w:r>
      <w:r w:rsidRPr="005A5EBD">
        <w:rPr>
          <w:color w:val="auto"/>
          <w:lang w:val="uk-UA"/>
        </w:rPr>
        <w:t xml:space="preserve"> </w:t>
      </w:r>
      <w:r w:rsidR="00355F8A" w:rsidRPr="005A5EBD">
        <w:rPr>
          <w:color w:val="auto"/>
          <w:lang w:val="uk-UA"/>
        </w:rPr>
        <w:t xml:space="preserve">За </w:t>
      </w:r>
      <w:r w:rsidR="00E53662" w:rsidRPr="005A5EBD">
        <w:rPr>
          <w:color w:val="auto"/>
          <w:lang w:val="uk-UA"/>
        </w:rPr>
        <w:t xml:space="preserve">цей час колірна гама листків дикого винограду </w:t>
      </w:r>
      <w:proofErr w:type="spellStart"/>
      <w:r w:rsidR="00E53662" w:rsidRPr="005A5EBD">
        <w:rPr>
          <w:color w:val="auto"/>
          <w:lang w:val="uk-UA"/>
        </w:rPr>
        <w:t>винограду</w:t>
      </w:r>
      <w:proofErr w:type="spellEnd"/>
      <w:r w:rsidR="00E53662" w:rsidRPr="005A5EBD">
        <w:rPr>
          <w:color w:val="auto"/>
          <w:lang w:val="uk-UA"/>
        </w:rPr>
        <w:t xml:space="preserve"> поступово змінюється. </w:t>
      </w:r>
      <w:r w:rsidR="007B5146" w:rsidRPr="005A5EBD">
        <w:rPr>
          <w:color w:val="auto"/>
          <w:lang w:val="uk-UA"/>
        </w:rPr>
        <w:t xml:space="preserve">Сезонний </w:t>
      </w:r>
      <w:r w:rsidR="00E53662" w:rsidRPr="005A5EBD">
        <w:rPr>
          <w:color w:val="auto"/>
          <w:lang w:val="uk-UA"/>
        </w:rPr>
        <w:t xml:space="preserve">осінній </w:t>
      </w:r>
      <w:r w:rsidR="007B5146" w:rsidRPr="005A5EBD">
        <w:rPr>
          <w:color w:val="auto"/>
          <w:lang w:val="uk-UA"/>
        </w:rPr>
        <w:t>колорит дикого винограду</w:t>
      </w:r>
      <w:r w:rsidR="00E53662" w:rsidRPr="005A5EBD">
        <w:rPr>
          <w:color w:val="auto"/>
          <w:lang w:val="uk-UA"/>
        </w:rPr>
        <w:t xml:space="preserve"> представлений </w:t>
      </w:r>
      <w:r w:rsidR="007B5146" w:rsidRPr="005A5EBD">
        <w:rPr>
          <w:color w:val="auto"/>
          <w:lang w:val="uk-UA"/>
        </w:rPr>
        <w:t xml:space="preserve">в табл. </w:t>
      </w:r>
      <w:r w:rsidR="001E4E52" w:rsidRPr="005A5EBD">
        <w:rPr>
          <w:color w:val="auto"/>
          <w:lang w:val="uk-UA"/>
        </w:rPr>
        <w:t>2</w:t>
      </w:r>
      <w:r w:rsidR="007B5146" w:rsidRPr="005A5EBD">
        <w:rPr>
          <w:color w:val="auto"/>
          <w:lang w:val="uk-UA"/>
        </w:rPr>
        <w:t xml:space="preserve">. </w:t>
      </w:r>
    </w:p>
    <w:p w:rsidR="009F7FCA" w:rsidRPr="005A5EBD" w:rsidRDefault="009F7FCA" w:rsidP="00243C42">
      <w:pPr>
        <w:pStyle w:val="Default"/>
        <w:spacing w:line="276" w:lineRule="auto"/>
        <w:jc w:val="center"/>
        <w:rPr>
          <w:color w:val="auto"/>
          <w:lang w:val="uk-UA"/>
        </w:rPr>
      </w:pPr>
      <w:r w:rsidRPr="005A5EBD">
        <w:rPr>
          <w:i/>
          <w:iCs/>
          <w:color w:val="auto"/>
          <w:lang w:val="uk-UA"/>
        </w:rPr>
        <w:t xml:space="preserve">Таблиця 2. </w:t>
      </w:r>
      <w:r w:rsidRPr="005A5EBD">
        <w:rPr>
          <w:b/>
          <w:bCs/>
          <w:color w:val="auto"/>
          <w:lang w:val="uk-UA"/>
        </w:rPr>
        <w:t xml:space="preserve">Осінній колорит листя ліан роду </w:t>
      </w:r>
      <w:proofErr w:type="spellStart"/>
      <w:r w:rsidRPr="005A5EBD">
        <w:rPr>
          <w:b/>
          <w:bCs/>
          <w:i/>
          <w:iCs/>
          <w:color w:val="auto"/>
          <w:lang w:val="uk-UA"/>
        </w:rPr>
        <w:t>Parthenocissus</w:t>
      </w:r>
      <w:proofErr w:type="spellEnd"/>
      <w:r w:rsidRPr="005A5EBD">
        <w:rPr>
          <w:b/>
          <w:bCs/>
          <w:i/>
          <w:iCs/>
          <w:color w:val="auto"/>
          <w:lang w:val="uk-UA"/>
        </w:rPr>
        <w:t xml:space="preserve"> </w:t>
      </w:r>
      <w:proofErr w:type="spellStart"/>
      <w:r w:rsidRPr="005A5EBD">
        <w:rPr>
          <w:b/>
          <w:bCs/>
          <w:color w:val="auto"/>
          <w:lang w:val="uk-UA"/>
        </w:rPr>
        <w:t>Planch</w:t>
      </w:r>
      <w:proofErr w:type="spellEnd"/>
      <w:r w:rsidRPr="005A5EBD">
        <w:rPr>
          <w:b/>
          <w:bCs/>
          <w:color w:val="auto"/>
          <w:lang w:val="uk-UA"/>
        </w:rPr>
        <w:t>.</w:t>
      </w:r>
    </w:p>
    <w:tbl>
      <w:tblPr>
        <w:tblStyle w:val="a3"/>
        <w:tblW w:w="9752" w:type="dxa"/>
        <w:jc w:val="center"/>
        <w:tblLook w:val="04A0"/>
      </w:tblPr>
      <w:tblGrid>
        <w:gridCol w:w="2042"/>
        <w:gridCol w:w="7710"/>
      </w:tblGrid>
      <w:tr w:rsidR="009F7FCA" w:rsidRPr="005A5EBD" w:rsidTr="008700AD">
        <w:trPr>
          <w:jc w:val="center"/>
        </w:trPr>
        <w:tc>
          <w:tcPr>
            <w:tcW w:w="1047" w:type="pct"/>
            <w:vAlign w:val="center"/>
          </w:tcPr>
          <w:p w:rsidR="009F7FCA" w:rsidRPr="005A5EBD" w:rsidRDefault="005C3A7E" w:rsidP="008700AD">
            <w:pPr>
              <w:pStyle w:val="Default"/>
              <w:jc w:val="center"/>
              <w:rPr>
                <w:color w:val="auto"/>
                <w:lang w:val="uk-UA"/>
              </w:rPr>
            </w:pPr>
            <w:r w:rsidRPr="005A5EBD">
              <w:rPr>
                <w:color w:val="auto"/>
                <w:lang w:val="uk-UA"/>
              </w:rPr>
              <w:t>Види</w:t>
            </w:r>
          </w:p>
        </w:tc>
        <w:tc>
          <w:tcPr>
            <w:tcW w:w="3953" w:type="pct"/>
            <w:vAlign w:val="center"/>
          </w:tcPr>
          <w:p w:rsidR="009F7FCA" w:rsidRPr="005A5EBD" w:rsidRDefault="009F7FCA" w:rsidP="008700AD">
            <w:pPr>
              <w:pStyle w:val="Default"/>
              <w:jc w:val="center"/>
              <w:rPr>
                <w:color w:val="auto"/>
                <w:lang w:val="uk-UA"/>
              </w:rPr>
            </w:pPr>
            <w:r w:rsidRPr="005A5EBD">
              <w:rPr>
                <w:color w:val="auto"/>
                <w:lang w:val="uk-UA"/>
              </w:rPr>
              <w:t>Колірна гама листків (код кольору)</w:t>
            </w:r>
          </w:p>
        </w:tc>
      </w:tr>
      <w:tr w:rsidR="009F7FCA" w:rsidRPr="005A5EBD" w:rsidTr="008700AD">
        <w:trPr>
          <w:jc w:val="center"/>
        </w:trPr>
        <w:tc>
          <w:tcPr>
            <w:tcW w:w="1047" w:type="pct"/>
            <w:vAlign w:val="center"/>
          </w:tcPr>
          <w:p w:rsidR="009F7FCA" w:rsidRPr="005A5EBD" w:rsidRDefault="009F7FCA" w:rsidP="008700A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EBD">
              <w:rPr>
                <w:bCs/>
                <w:i/>
                <w:sz w:val="24"/>
                <w:szCs w:val="24"/>
              </w:rPr>
              <w:t>Parthenocissus</w:t>
            </w:r>
            <w:proofErr w:type="spellEnd"/>
            <w:r w:rsidRPr="005A5EB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A5EBD">
              <w:rPr>
                <w:bCs/>
                <w:i/>
                <w:sz w:val="24"/>
                <w:szCs w:val="24"/>
              </w:rPr>
              <w:t>quinquefolia</w:t>
            </w:r>
            <w:proofErr w:type="spellEnd"/>
          </w:p>
        </w:tc>
        <w:tc>
          <w:tcPr>
            <w:tcW w:w="3953" w:type="pct"/>
            <w:vAlign w:val="center"/>
          </w:tcPr>
          <w:p w:rsidR="009F7FCA" w:rsidRPr="005A5EBD" w:rsidRDefault="009F7FCA" w:rsidP="008700AD">
            <w:pPr>
              <w:pStyle w:val="Default"/>
              <w:rPr>
                <w:color w:val="auto"/>
                <w:lang w:val="uk-UA"/>
              </w:rPr>
            </w:pPr>
            <w:r w:rsidRPr="005A5EBD">
              <w:rPr>
                <w:color w:val="auto"/>
                <w:lang w:val="uk-UA"/>
              </w:rPr>
              <w:t>e8abbd; 601a22; 551f34; ac1b2a; a92745; 843352; 943240; 874542; aa3b66; 675742; 814c65; 645563; 825180; a14e72; d75b87; c86c92; c17670; a97aa2; ba7d95; 9588ad; a6966f; a8939a; 8aa491; e8abbd</w:t>
            </w:r>
          </w:p>
        </w:tc>
      </w:tr>
      <w:tr w:rsidR="009F7FCA" w:rsidRPr="005A5EBD" w:rsidTr="008700AD">
        <w:trPr>
          <w:jc w:val="center"/>
        </w:trPr>
        <w:tc>
          <w:tcPr>
            <w:tcW w:w="1047" w:type="pct"/>
            <w:vAlign w:val="center"/>
          </w:tcPr>
          <w:p w:rsidR="009F7FCA" w:rsidRPr="005A5EBD" w:rsidRDefault="009F7FCA" w:rsidP="008700AD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 w:rsidRPr="005A5EBD">
              <w:rPr>
                <w:bCs/>
                <w:i/>
                <w:color w:val="auto"/>
                <w:lang w:val="en-US"/>
              </w:rPr>
              <w:t>Parthenocissus</w:t>
            </w:r>
            <w:proofErr w:type="spellEnd"/>
            <w:r w:rsidRPr="005A5EBD">
              <w:rPr>
                <w:bCs/>
                <w:i/>
                <w:color w:val="auto"/>
                <w:lang w:val="en-US"/>
              </w:rPr>
              <w:t xml:space="preserve"> </w:t>
            </w:r>
            <w:proofErr w:type="spellStart"/>
            <w:r w:rsidRPr="005A5EBD">
              <w:rPr>
                <w:bCs/>
                <w:i/>
                <w:color w:val="auto"/>
                <w:lang w:val="en-US"/>
              </w:rPr>
              <w:t>quinquefolia</w:t>
            </w:r>
            <w:proofErr w:type="spellEnd"/>
            <w:r w:rsidRPr="005A5EBD">
              <w:rPr>
                <w:bCs/>
                <w:i/>
                <w:color w:val="auto"/>
                <w:lang w:val="en-US"/>
              </w:rPr>
              <w:t xml:space="preserve"> </w:t>
            </w:r>
            <w:r w:rsidRPr="005A5EBD">
              <w:rPr>
                <w:bCs/>
                <w:color w:val="auto"/>
                <w:lang w:val="en-US"/>
              </w:rPr>
              <w:t>'</w:t>
            </w:r>
            <w:proofErr w:type="spellStart"/>
            <w:r w:rsidRPr="005A5EBD">
              <w:rPr>
                <w:bCs/>
                <w:color w:val="auto"/>
                <w:lang w:val="en-US"/>
              </w:rPr>
              <w:t>Engelmanii</w:t>
            </w:r>
            <w:proofErr w:type="spellEnd"/>
            <w:r w:rsidRPr="005A5EBD">
              <w:rPr>
                <w:bCs/>
                <w:color w:val="auto"/>
                <w:lang w:val="en-US"/>
              </w:rPr>
              <w:t>'</w:t>
            </w:r>
          </w:p>
        </w:tc>
        <w:tc>
          <w:tcPr>
            <w:tcW w:w="3953" w:type="pct"/>
            <w:vAlign w:val="center"/>
          </w:tcPr>
          <w:p w:rsidR="009F7FCA" w:rsidRPr="005A5EBD" w:rsidRDefault="009F7FCA" w:rsidP="008700AD">
            <w:pPr>
              <w:pStyle w:val="Default"/>
              <w:rPr>
                <w:color w:val="auto"/>
                <w:lang w:val="uk-UA"/>
              </w:rPr>
            </w:pPr>
            <w:r w:rsidRPr="005A5EBD">
              <w:rPr>
                <w:color w:val="auto"/>
                <w:lang w:val="uk-UA"/>
              </w:rPr>
              <w:t>5b181d; fcc8c3; bd2534; b62c45; 99373b; 8c4052; ad367a; 7d4582; fcc8c3; e53d4e; ee5071; d35f54; d3693f ;d76576; e95d98; fcc8c3; c09c6e; fe869b; ea92b8; f99d81; fba5ad; fcd6a0</w:t>
            </w:r>
          </w:p>
        </w:tc>
      </w:tr>
      <w:tr w:rsidR="009F7FCA" w:rsidRPr="005A5EBD" w:rsidTr="008700AD">
        <w:trPr>
          <w:jc w:val="center"/>
        </w:trPr>
        <w:tc>
          <w:tcPr>
            <w:tcW w:w="1047" w:type="pct"/>
            <w:vAlign w:val="center"/>
          </w:tcPr>
          <w:p w:rsidR="009F7FCA" w:rsidRPr="005A5EBD" w:rsidRDefault="009F7FCA" w:rsidP="008700AD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 w:rsidRPr="005A5EBD">
              <w:rPr>
                <w:bCs/>
                <w:i/>
                <w:color w:val="auto"/>
              </w:rPr>
              <w:t>Parthenocissus</w:t>
            </w:r>
            <w:proofErr w:type="spellEnd"/>
            <w:r w:rsidRPr="005A5EBD">
              <w:rPr>
                <w:bCs/>
                <w:i/>
                <w:color w:val="auto"/>
              </w:rPr>
              <w:t xml:space="preserve"> </w:t>
            </w:r>
            <w:proofErr w:type="spellStart"/>
            <w:r w:rsidRPr="005A5EBD">
              <w:rPr>
                <w:bCs/>
                <w:i/>
                <w:color w:val="auto"/>
              </w:rPr>
              <w:t>tricuspiata</w:t>
            </w:r>
            <w:proofErr w:type="spellEnd"/>
            <w:r w:rsidRPr="005A5EBD">
              <w:rPr>
                <w:bCs/>
                <w:i/>
                <w:color w:val="auto"/>
              </w:rPr>
              <w:t xml:space="preserve"> </w:t>
            </w:r>
            <w:r w:rsidRPr="005A5EBD">
              <w:rPr>
                <w:bCs/>
                <w:color w:val="auto"/>
              </w:rPr>
              <w:t>'</w:t>
            </w:r>
            <w:proofErr w:type="spellStart"/>
            <w:r w:rsidRPr="005A5EBD">
              <w:rPr>
                <w:bCs/>
                <w:color w:val="auto"/>
              </w:rPr>
              <w:t>Veichii</w:t>
            </w:r>
            <w:proofErr w:type="spellEnd"/>
            <w:r w:rsidRPr="005A5EBD">
              <w:rPr>
                <w:bCs/>
                <w:color w:val="auto"/>
              </w:rPr>
              <w:t>'</w:t>
            </w:r>
          </w:p>
        </w:tc>
        <w:tc>
          <w:tcPr>
            <w:tcW w:w="3953" w:type="pct"/>
            <w:vAlign w:val="center"/>
          </w:tcPr>
          <w:p w:rsidR="009F7FCA" w:rsidRPr="005A5EBD" w:rsidRDefault="009F7FCA" w:rsidP="008700AD">
            <w:pPr>
              <w:pStyle w:val="Default"/>
              <w:rPr>
                <w:color w:val="auto"/>
                <w:lang w:val="uk-UA"/>
              </w:rPr>
            </w:pPr>
            <w:r w:rsidRPr="005A5EBD">
              <w:rPr>
                <w:color w:val="auto"/>
                <w:lang w:val="uk-UA"/>
              </w:rPr>
              <w:t>#2a1714; #9f2a29; #292912; #631814; #ba2331; #40230e; #fceae1; #8f3c2a; #f2546c; #f6e5b1; #f3a3a1; #f27e89; #5e4b36; #e4dc6e; #565a14; #e27d55; #a5a130; #6e4d17; #aa966d; #dbda2c</w:t>
            </w:r>
          </w:p>
        </w:tc>
      </w:tr>
    </w:tbl>
    <w:p w:rsidR="009F7FCA" w:rsidRPr="005A5EBD" w:rsidRDefault="009F7FCA" w:rsidP="009F7FCA">
      <w:pPr>
        <w:pStyle w:val="Default"/>
        <w:ind w:firstLine="720"/>
        <w:jc w:val="both"/>
        <w:rPr>
          <w:color w:val="auto"/>
          <w:sz w:val="20"/>
          <w:szCs w:val="20"/>
          <w:lang w:val="uk-UA"/>
        </w:rPr>
      </w:pPr>
    </w:p>
    <w:p w:rsidR="007B5146" w:rsidRPr="005A5EBD" w:rsidRDefault="007B5146" w:rsidP="007B5146">
      <w:pPr>
        <w:pStyle w:val="Default"/>
        <w:ind w:firstLine="720"/>
        <w:jc w:val="both"/>
        <w:rPr>
          <w:color w:val="auto"/>
          <w:lang w:val="uk-UA"/>
        </w:rPr>
      </w:pPr>
      <w:r w:rsidRPr="005A5EBD">
        <w:rPr>
          <w:color w:val="auto"/>
          <w:lang w:val="uk-UA"/>
        </w:rPr>
        <w:t>Як видно з табл</w:t>
      </w:r>
      <w:r w:rsidR="00D20599" w:rsidRPr="005A5EBD">
        <w:rPr>
          <w:color w:val="auto"/>
          <w:lang w:val="uk-UA"/>
        </w:rPr>
        <w:t>. 2</w:t>
      </w:r>
      <w:r w:rsidRPr="005A5EBD">
        <w:rPr>
          <w:color w:val="auto"/>
          <w:lang w:val="uk-UA"/>
        </w:rPr>
        <w:t xml:space="preserve">, </w:t>
      </w:r>
      <w:r w:rsidR="00881AA9" w:rsidRPr="005A5EBD">
        <w:rPr>
          <w:color w:val="auto"/>
          <w:lang w:val="uk-UA"/>
        </w:rPr>
        <w:t xml:space="preserve">для </w:t>
      </w:r>
      <w:r w:rsidR="00881AA9" w:rsidRPr="005A5EBD">
        <w:rPr>
          <w:i/>
          <w:iCs/>
          <w:color w:val="auto"/>
          <w:lang w:val="uk-UA"/>
        </w:rPr>
        <w:t xml:space="preserve">P. </w:t>
      </w:r>
      <w:proofErr w:type="spellStart"/>
      <w:r w:rsidR="00881AA9" w:rsidRPr="005A5EBD">
        <w:rPr>
          <w:i/>
          <w:iCs/>
          <w:color w:val="auto"/>
          <w:lang w:val="uk-UA"/>
        </w:rPr>
        <w:t>quinquifolia</w:t>
      </w:r>
      <w:proofErr w:type="spellEnd"/>
      <w:r w:rsidR="00881AA9" w:rsidRPr="005A5EBD">
        <w:rPr>
          <w:i/>
          <w:iCs/>
          <w:color w:val="auto"/>
          <w:lang w:val="uk-UA"/>
        </w:rPr>
        <w:t xml:space="preserve"> </w:t>
      </w:r>
      <w:r w:rsidR="00881AA9" w:rsidRPr="005A5EBD">
        <w:rPr>
          <w:color w:val="auto"/>
          <w:lang w:val="uk-UA"/>
        </w:rPr>
        <w:t xml:space="preserve">восени властивими є червоно-пурпурові та фіолетові відтінки, трапляється й жовте забарвлення листя (24 відтінки). Осіннє </w:t>
      </w:r>
      <w:r w:rsidRPr="005A5EBD">
        <w:rPr>
          <w:color w:val="auto"/>
          <w:lang w:val="uk-UA"/>
        </w:rPr>
        <w:t xml:space="preserve">забарвлення </w:t>
      </w:r>
      <w:r w:rsidR="00881AA9" w:rsidRPr="005A5EBD">
        <w:rPr>
          <w:i/>
          <w:iCs/>
          <w:color w:val="auto"/>
          <w:lang w:val="uk-UA"/>
        </w:rPr>
        <w:t>P. q</w:t>
      </w:r>
      <w:r w:rsidR="00881AA9" w:rsidRPr="005A5EBD">
        <w:rPr>
          <w:color w:val="auto"/>
          <w:lang w:val="uk-UA"/>
        </w:rPr>
        <w:t xml:space="preserve">. </w:t>
      </w:r>
      <w:proofErr w:type="spellStart"/>
      <w:r w:rsidR="00881AA9" w:rsidRPr="005A5EBD">
        <w:rPr>
          <w:color w:val="auto"/>
          <w:lang w:val="uk-UA"/>
        </w:rPr>
        <w:t>'Engelmanii'</w:t>
      </w:r>
      <w:proofErr w:type="spellEnd"/>
      <w:r w:rsidR="00881AA9" w:rsidRPr="005A5EBD">
        <w:rPr>
          <w:color w:val="auto"/>
          <w:lang w:val="uk-UA"/>
        </w:rPr>
        <w:t xml:space="preserve"> </w:t>
      </w:r>
      <w:r w:rsidRPr="005A5EBD">
        <w:rPr>
          <w:color w:val="auto"/>
          <w:lang w:val="uk-UA"/>
        </w:rPr>
        <w:t xml:space="preserve">характеризується рожево-червоними та фіолетовими </w:t>
      </w:r>
      <w:r w:rsidR="00881AA9" w:rsidRPr="005A5EBD">
        <w:rPr>
          <w:color w:val="auto"/>
          <w:lang w:val="uk-UA"/>
        </w:rPr>
        <w:t>кольорами</w:t>
      </w:r>
      <w:r w:rsidRPr="005A5EBD">
        <w:rPr>
          <w:color w:val="auto"/>
          <w:lang w:val="uk-UA"/>
        </w:rPr>
        <w:t>, фіолетово-зеленим та жовтуватим забарвленням листя</w:t>
      </w:r>
      <w:r w:rsidR="00C84AC6">
        <w:rPr>
          <w:color w:val="auto"/>
          <w:lang w:val="uk-UA"/>
        </w:rPr>
        <w:t xml:space="preserve"> </w:t>
      </w:r>
      <w:r w:rsidR="00C84AC6" w:rsidRPr="005A5EBD">
        <w:rPr>
          <w:color w:val="auto"/>
          <w:lang w:val="uk-UA"/>
        </w:rPr>
        <w:t>(2</w:t>
      </w:r>
      <w:r w:rsidR="00C84AC6">
        <w:rPr>
          <w:color w:val="auto"/>
          <w:lang w:val="uk-UA"/>
        </w:rPr>
        <w:t>2</w:t>
      </w:r>
      <w:r w:rsidR="00C84AC6" w:rsidRPr="005A5EBD">
        <w:rPr>
          <w:color w:val="auto"/>
          <w:lang w:val="uk-UA"/>
        </w:rPr>
        <w:t xml:space="preserve"> відтінки)</w:t>
      </w:r>
      <w:r w:rsidRPr="005A5EBD">
        <w:rPr>
          <w:color w:val="auto"/>
          <w:lang w:val="uk-UA"/>
        </w:rPr>
        <w:t>. Гама осінн</w:t>
      </w:r>
      <w:r w:rsidR="00881AA9" w:rsidRPr="005A5EBD">
        <w:rPr>
          <w:color w:val="auto"/>
          <w:lang w:val="uk-UA"/>
        </w:rPr>
        <w:t xml:space="preserve">іх барв </w:t>
      </w:r>
      <w:r w:rsidR="00881AA9" w:rsidRPr="005A5EBD">
        <w:rPr>
          <w:i/>
          <w:iCs/>
          <w:color w:val="auto"/>
          <w:lang w:val="uk-UA"/>
        </w:rPr>
        <w:t xml:space="preserve">P. </w:t>
      </w:r>
      <w:proofErr w:type="spellStart"/>
      <w:r w:rsidR="00881AA9" w:rsidRPr="005A5EBD">
        <w:rPr>
          <w:i/>
          <w:iCs/>
          <w:color w:val="auto"/>
          <w:lang w:val="uk-UA"/>
        </w:rPr>
        <w:t>tricuspidata</w:t>
      </w:r>
      <w:proofErr w:type="spellEnd"/>
      <w:r w:rsidR="00881AA9" w:rsidRPr="005A5EBD">
        <w:rPr>
          <w:i/>
          <w:iCs/>
          <w:color w:val="auto"/>
          <w:lang w:val="uk-UA"/>
        </w:rPr>
        <w:t xml:space="preserve"> </w:t>
      </w:r>
      <w:proofErr w:type="spellStart"/>
      <w:r w:rsidR="00881AA9" w:rsidRPr="005A5EBD">
        <w:rPr>
          <w:color w:val="auto"/>
          <w:lang w:val="uk-UA"/>
        </w:rPr>
        <w:t>'Veichii'</w:t>
      </w:r>
      <w:proofErr w:type="spellEnd"/>
      <w:r w:rsidR="00881AA9" w:rsidRPr="005A5EBD">
        <w:rPr>
          <w:color w:val="auto"/>
          <w:lang w:val="uk-UA"/>
        </w:rPr>
        <w:t xml:space="preserve"> також</w:t>
      </w:r>
      <w:r w:rsidRPr="005A5EBD">
        <w:rPr>
          <w:color w:val="auto"/>
          <w:lang w:val="uk-UA"/>
        </w:rPr>
        <w:t xml:space="preserve"> різноманітна — від яскраво-червоного, пурпурового, рожевого, фіолетового до жовтого та оливкового кольору листя (</w:t>
      </w:r>
      <w:r w:rsidR="00881AA9" w:rsidRPr="005A5EBD">
        <w:rPr>
          <w:color w:val="auto"/>
          <w:lang w:val="uk-UA"/>
        </w:rPr>
        <w:t>20</w:t>
      </w:r>
      <w:r w:rsidRPr="005A5EBD">
        <w:rPr>
          <w:color w:val="auto"/>
          <w:lang w:val="uk-UA"/>
        </w:rPr>
        <w:t xml:space="preserve"> відтінків). Характерною </w:t>
      </w:r>
      <w:r w:rsidR="00881AA9" w:rsidRPr="005A5EBD">
        <w:rPr>
          <w:color w:val="auto"/>
          <w:lang w:val="uk-UA"/>
        </w:rPr>
        <w:t>ознакою цього виду</w:t>
      </w:r>
      <w:r w:rsidRPr="005A5EBD">
        <w:rPr>
          <w:color w:val="auto"/>
          <w:lang w:val="uk-UA"/>
        </w:rPr>
        <w:t>, за нашими спостереженнями, є контрастне забарвлення восени, коли одна частина ліани вже набула яскраво червоного кольору, а інша залишається темно-зеленою, що виглядає доволі гарм</w:t>
      </w:r>
      <w:r w:rsidR="00881AA9" w:rsidRPr="005A5EBD">
        <w:rPr>
          <w:color w:val="auto"/>
          <w:lang w:val="uk-UA"/>
        </w:rPr>
        <w:t>о</w:t>
      </w:r>
      <w:r w:rsidRPr="005A5EBD">
        <w:rPr>
          <w:color w:val="auto"/>
          <w:lang w:val="uk-UA"/>
        </w:rPr>
        <w:t xml:space="preserve">нійно та ефектно, з точки зору ландшафтної архітектури, оскільки таке поєднання є контрастом додаткових кольорів (червоного та зеленого) і забезпечується однією рослиною. </w:t>
      </w:r>
    </w:p>
    <w:p w:rsidR="007B5146" w:rsidRPr="005A5EBD" w:rsidRDefault="00F71D23" w:rsidP="007B5146">
      <w:pPr>
        <w:pStyle w:val="Default"/>
        <w:ind w:firstLine="720"/>
        <w:jc w:val="both"/>
        <w:rPr>
          <w:color w:val="auto"/>
          <w:lang w:val="uk-UA"/>
        </w:rPr>
      </w:pPr>
      <w:r w:rsidRPr="005A5EBD">
        <w:rPr>
          <w:color w:val="auto"/>
          <w:lang w:val="uk-UA"/>
        </w:rPr>
        <w:t xml:space="preserve">У всіх досліджуваних таксонів спостерігали широкий діапазон забарвлення (від світлих до темних відтінків), що зумовлено освітленням </w:t>
      </w:r>
      <w:r w:rsidR="00D0789B">
        <w:rPr>
          <w:color w:val="auto"/>
          <w:lang w:val="uk-UA"/>
        </w:rPr>
        <w:t xml:space="preserve">та іншими природними чинниками </w:t>
      </w:r>
      <w:r w:rsidRPr="005A5EBD">
        <w:rPr>
          <w:color w:val="auto"/>
          <w:lang w:val="uk-UA"/>
        </w:rPr>
        <w:t xml:space="preserve">. </w:t>
      </w:r>
      <w:r w:rsidR="007B5146" w:rsidRPr="005A5EBD">
        <w:rPr>
          <w:color w:val="auto"/>
          <w:lang w:val="uk-UA"/>
        </w:rPr>
        <w:t xml:space="preserve">Така різноманітність </w:t>
      </w:r>
      <w:r w:rsidR="009F7FCA" w:rsidRPr="005A5EBD">
        <w:rPr>
          <w:color w:val="auto"/>
          <w:lang w:val="uk-UA"/>
        </w:rPr>
        <w:t xml:space="preserve">осіннього </w:t>
      </w:r>
      <w:r w:rsidR="007B5146" w:rsidRPr="005A5EBD">
        <w:rPr>
          <w:color w:val="auto"/>
          <w:lang w:val="uk-UA"/>
        </w:rPr>
        <w:t xml:space="preserve">забарвлення </w:t>
      </w:r>
      <w:r w:rsidR="009F7FCA" w:rsidRPr="005A5EBD">
        <w:rPr>
          <w:color w:val="auto"/>
          <w:lang w:val="uk-UA"/>
        </w:rPr>
        <w:t>листя</w:t>
      </w:r>
      <w:r w:rsidRPr="005A5EBD">
        <w:rPr>
          <w:color w:val="auto"/>
          <w:lang w:val="uk-UA"/>
        </w:rPr>
        <w:t xml:space="preserve"> визначається, передусім,</w:t>
      </w:r>
      <w:r w:rsidR="009F7FCA" w:rsidRPr="005A5EBD">
        <w:rPr>
          <w:color w:val="auto"/>
          <w:lang w:val="uk-UA"/>
        </w:rPr>
        <w:t xml:space="preserve"> відповідним</w:t>
      </w:r>
      <w:r w:rsidR="007B5146" w:rsidRPr="005A5EBD">
        <w:rPr>
          <w:color w:val="auto"/>
          <w:lang w:val="uk-UA"/>
        </w:rPr>
        <w:t xml:space="preserve"> </w:t>
      </w:r>
      <w:r w:rsidR="009F7FCA" w:rsidRPr="005A5EBD">
        <w:rPr>
          <w:color w:val="auto"/>
          <w:lang w:val="uk-UA"/>
        </w:rPr>
        <w:t>вмістом</w:t>
      </w:r>
      <w:r w:rsidR="007B5146" w:rsidRPr="005A5EBD">
        <w:rPr>
          <w:color w:val="auto"/>
          <w:lang w:val="uk-UA"/>
        </w:rPr>
        <w:t xml:space="preserve"> антоціанових пігментів. Вони </w:t>
      </w:r>
      <w:r w:rsidRPr="005A5EBD">
        <w:rPr>
          <w:color w:val="auto"/>
          <w:lang w:val="uk-UA"/>
        </w:rPr>
        <w:t>формують</w:t>
      </w:r>
      <w:r w:rsidR="007B5146" w:rsidRPr="005A5EBD">
        <w:rPr>
          <w:color w:val="auto"/>
          <w:lang w:val="uk-UA"/>
        </w:rPr>
        <w:t xml:space="preserve"> забарвлення листкової пластинки і їх кількість залежить від спадкових факторів рослини</w:t>
      </w:r>
      <w:r w:rsidR="009F7FCA" w:rsidRPr="005A5EBD">
        <w:rPr>
          <w:color w:val="auto"/>
          <w:lang w:val="uk-UA"/>
        </w:rPr>
        <w:t>.</w:t>
      </w:r>
      <w:r w:rsidR="007B5146" w:rsidRPr="005A5EBD">
        <w:rPr>
          <w:color w:val="auto"/>
          <w:lang w:val="uk-UA"/>
        </w:rPr>
        <w:t xml:space="preserve"> </w:t>
      </w:r>
      <w:r w:rsidR="009F7FCA" w:rsidRPr="005A5EBD">
        <w:rPr>
          <w:color w:val="auto"/>
          <w:lang w:val="uk-UA"/>
        </w:rPr>
        <w:t>Проте</w:t>
      </w:r>
      <w:r w:rsidR="00FD2AFF" w:rsidRPr="005A5EBD">
        <w:rPr>
          <w:color w:val="auto"/>
          <w:lang w:val="uk-UA"/>
        </w:rPr>
        <w:t>,</w:t>
      </w:r>
      <w:r w:rsidR="009F7FCA" w:rsidRPr="005A5EBD">
        <w:rPr>
          <w:color w:val="auto"/>
          <w:lang w:val="uk-UA"/>
        </w:rPr>
        <w:t xml:space="preserve"> чинники</w:t>
      </w:r>
      <w:r w:rsidR="007B5146" w:rsidRPr="005A5EBD">
        <w:rPr>
          <w:color w:val="auto"/>
          <w:lang w:val="uk-UA"/>
        </w:rPr>
        <w:t xml:space="preserve"> навколишн</w:t>
      </w:r>
      <w:r w:rsidR="009F7FCA" w:rsidRPr="005A5EBD">
        <w:rPr>
          <w:color w:val="auto"/>
          <w:lang w:val="uk-UA"/>
        </w:rPr>
        <w:t>ього</w:t>
      </w:r>
      <w:r w:rsidR="007B5146" w:rsidRPr="005A5EBD">
        <w:rPr>
          <w:color w:val="auto"/>
          <w:lang w:val="uk-UA"/>
        </w:rPr>
        <w:t xml:space="preserve"> середовищ</w:t>
      </w:r>
      <w:r w:rsidRPr="005A5EBD">
        <w:rPr>
          <w:color w:val="auto"/>
          <w:lang w:val="uk-UA"/>
        </w:rPr>
        <w:t>а</w:t>
      </w:r>
      <w:r w:rsidR="007B5146" w:rsidRPr="005A5EBD">
        <w:rPr>
          <w:color w:val="auto"/>
          <w:lang w:val="uk-UA"/>
        </w:rPr>
        <w:t xml:space="preserve"> </w:t>
      </w:r>
      <w:r w:rsidRPr="005A5EBD">
        <w:rPr>
          <w:color w:val="auto"/>
          <w:lang w:val="uk-UA"/>
        </w:rPr>
        <w:t xml:space="preserve">також </w:t>
      </w:r>
      <w:r w:rsidR="009F7FCA" w:rsidRPr="005A5EBD">
        <w:rPr>
          <w:color w:val="auto"/>
          <w:lang w:val="uk-UA"/>
        </w:rPr>
        <w:t>мають суттєвий вплив</w:t>
      </w:r>
      <w:r w:rsidR="00520C83" w:rsidRPr="005A5EBD">
        <w:rPr>
          <w:color w:val="auto"/>
          <w:lang w:val="uk-UA"/>
        </w:rPr>
        <w:t xml:space="preserve"> на </w:t>
      </w:r>
      <w:proofErr w:type="spellStart"/>
      <w:r w:rsidR="00520C83" w:rsidRPr="005A5EBD">
        <w:rPr>
          <w:color w:val="auto"/>
          <w:lang w:val="uk-UA"/>
        </w:rPr>
        <w:t>феноритми</w:t>
      </w:r>
      <w:proofErr w:type="spellEnd"/>
      <w:r w:rsidR="00520C83" w:rsidRPr="005A5EBD">
        <w:rPr>
          <w:color w:val="auto"/>
          <w:lang w:val="uk-UA"/>
        </w:rPr>
        <w:t xml:space="preserve"> і колористику рослин</w:t>
      </w:r>
      <w:r w:rsidR="007B5146" w:rsidRPr="005A5EBD">
        <w:rPr>
          <w:color w:val="auto"/>
          <w:lang w:val="uk-UA"/>
        </w:rPr>
        <w:t xml:space="preserve">. </w:t>
      </w:r>
      <w:r w:rsidR="009F7FCA" w:rsidRPr="005A5EBD">
        <w:rPr>
          <w:color w:val="auto"/>
          <w:lang w:val="uk-UA"/>
        </w:rPr>
        <w:t xml:space="preserve">За </w:t>
      </w:r>
      <w:r w:rsidR="007B5146" w:rsidRPr="005A5EBD">
        <w:rPr>
          <w:color w:val="auto"/>
          <w:lang w:val="uk-UA"/>
        </w:rPr>
        <w:t>умов зниження температури повітря</w:t>
      </w:r>
      <w:r w:rsidR="00AE0568" w:rsidRPr="005A5EBD">
        <w:rPr>
          <w:color w:val="auto"/>
          <w:lang w:val="uk-UA"/>
        </w:rPr>
        <w:t xml:space="preserve"> </w:t>
      </w:r>
      <w:r w:rsidR="00D43B70" w:rsidRPr="005A5EBD">
        <w:rPr>
          <w:color w:val="auto"/>
          <w:lang w:val="uk-UA"/>
        </w:rPr>
        <w:t>восени у листі починають активно утворюватись антоціани</w:t>
      </w:r>
      <w:r w:rsidR="007B5146" w:rsidRPr="005A5EBD">
        <w:rPr>
          <w:color w:val="auto"/>
          <w:lang w:val="uk-UA"/>
        </w:rPr>
        <w:t>. Окрім температурних показників на кількість антоціанів впливає також наявність опадів</w:t>
      </w:r>
      <w:r w:rsidR="00AE0568" w:rsidRPr="005A5EBD">
        <w:rPr>
          <w:color w:val="auto"/>
          <w:lang w:val="uk-UA"/>
        </w:rPr>
        <w:t xml:space="preserve"> – дощові дні та нестача світла зменшують яскравість забарвлення листя [3].</w:t>
      </w:r>
      <w:r w:rsidR="007B5146" w:rsidRPr="005A5EBD">
        <w:rPr>
          <w:color w:val="auto"/>
          <w:lang w:val="uk-UA"/>
        </w:rPr>
        <w:t xml:space="preserve"> Цим пояснюється різниця колористичної гами однієї і тієї ж рослини в різні </w:t>
      </w:r>
      <w:r w:rsidR="00520C83" w:rsidRPr="005A5EBD">
        <w:rPr>
          <w:color w:val="auto"/>
          <w:lang w:val="uk-UA"/>
        </w:rPr>
        <w:t>роки</w:t>
      </w:r>
      <w:r w:rsidR="007B5146" w:rsidRPr="005A5EBD">
        <w:rPr>
          <w:color w:val="auto"/>
          <w:lang w:val="uk-UA"/>
        </w:rPr>
        <w:t xml:space="preserve">. </w:t>
      </w:r>
    </w:p>
    <w:p w:rsidR="009948F7" w:rsidRPr="005A5EBD" w:rsidRDefault="009948F7" w:rsidP="009948F7">
      <w:pPr>
        <w:pStyle w:val="Default"/>
        <w:ind w:firstLine="720"/>
        <w:jc w:val="both"/>
        <w:rPr>
          <w:color w:val="auto"/>
          <w:lang w:val="uk-UA"/>
        </w:rPr>
      </w:pPr>
      <w:r w:rsidRPr="005A5EBD">
        <w:rPr>
          <w:color w:val="auto"/>
          <w:lang w:val="uk-UA"/>
        </w:rPr>
        <w:t xml:space="preserve">Потрібно зауважити ще одну особливість </w:t>
      </w:r>
      <w:proofErr w:type="spellStart"/>
      <w:r w:rsidRPr="005A5EBD">
        <w:rPr>
          <w:color w:val="auto"/>
          <w:lang w:val="uk-UA"/>
        </w:rPr>
        <w:t>феноритмів</w:t>
      </w:r>
      <w:proofErr w:type="spellEnd"/>
      <w:r w:rsidRPr="005A5EBD">
        <w:rPr>
          <w:color w:val="auto"/>
          <w:lang w:val="uk-UA"/>
        </w:rPr>
        <w:t xml:space="preserve"> ліан – час настання </w:t>
      </w:r>
      <w:r w:rsidR="00F71D23" w:rsidRPr="005A5EBD">
        <w:rPr>
          <w:color w:val="auto"/>
          <w:lang w:val="uk-UA"/>
        </w:rPr>
        <w:t>зміни осіннього забарвлення</w:t>
      </w:r>
      <w:r w:rsidRPr="005A5EBD">
        <w:rPr>
          <w:color w:val="auto"/>
          <w:lang w:val="uk-UA"/>
        </w:rPr>
        <w:t xml:space="preserve"> залежить від того, в якій частині міста зростає об’єкт дослідження, а також від експозиції опори. Так, рослини дикого винограду, котрі зростають в центральній частині міста вступають в фази розвитку в середньому на 10-14 днів раніше порівняно з екземплярами на околиці. На опорах південної експозиції зміна фенофази спостерігається на 5-7 днів раніше порівняно зі стінами, котрі орієнтовані на північ. </w:t>
      </w:r>
    </w:p>
    <w:p w:rsidR="00F537A6" w:rsidRPr="005A5EBD" w:rsidRDefault="00F537A6" w:rsidP="00F537A6">
      <w:pPr>
        <w:pStyle w:val="Default"/>
        <w:jc w:val="center"/>
        <w:rPr>
          <w:b/>
          <w:color w:val="auto"/>
          <w:lang w:val="uk-UA"/>
        </w:rPr>
      </w:pPr>
    </w:p>
    <w:p w:rsidR="007B5146" w:rsidRPr="005A5EBD" w:rsidRDefault="00F537A6" w:rsidP="00F537A6">
      <w:pPr>
        <w:pStyle w:val="Default"/>
        <w:jc w:val="center"/>
        <w:rPr>
          <w:b/>
          <w:color w:val="auto"/>
          <w:lang w:val="uk-UA"/>
        </w:rPr>
      </w:pPr>
      <w:r w:rsidRPr="005A5EBD">
        <w:rPr>
          <w:b/>
          <w:color w:val="auto"/>
          <w:lang w:val="uk-UA"/>
        </w:rPr>
        <w:t>Література</w:t>
      </w:r>
    </w:p>
    <w:p w:rsidR="00E61BDF" w:rsidRPr="005A5EBD" w:rsidRDefault="00A70D2C" w:rsidP="00D43B70">
      <w:pPr>
        <w:pStyle w:val="Default"/>
        <w:numPr>
          <w:ilvl w:val="0"/>
          <w:numId w:val="1"/>
        </w:numPr>
        <w:ind w:firstLine="709"/>
        <w:jc w:val="both"/>
        <w:rPr>
          <w:color w:val="auto"/>
        </w:rPr>
      </w:pPr>
      <w:r w:rsidRPr="005A5EBD">
        <w:rPr>
          <w:color w:val="auto"/>
          <w:lang w:val="uk-UA"/>
        </w:rPr>
        <w:t xml:space="preserve">1. </w:t>
      </w:r>
      <w:r w:rsidR="00E61BDF" w:rsidRPr="005A5EBD">
        <w:rPr>
          <w:color w:val="auto"/>
        </w:rPr>
        <w:t xml:space="preserve">Булыгин Н.Е. Дендрология. Фенологические наблюдения над лиственными древесными растениями: Ленинград: РИОЛТА, 1976. 70 с </w:t>
      </w:r>
    </w:p>
    <w:p w:rsidR="00E61BDF" w:rsidRPr="005A5EBD" w:rsidRDefault="00A70D2C" w:rsidP="00D43B70">
      <w:pPr>
        <w:pStyle w:val="Default"/>
        <w:numPr>
          <w:ilvl w:val="0"/>
          <w:numId w:val="1"/>
        </w:numPr>
        <w:ind w:firstLine="709"/>
        <w:jc w:val="both"/>
        <w:rPr>
          <w:color w:val="auto"/>
        </w:rPr>
      </w:pPr>
      <w:r w:rsidRPr="005A5EBD">
        <w:rPr>
          <w:color w:val="auto"/>
          <w:lang w:val="uk-UA"/>
        </w:rPr>
        <w:t xml:space="preserve">2. </w:t>
      </w:r>
      <w:r w:rsidR="00E61BDF" w:rsidRPr="005A5EBD">
        <w:rPr>
          <w:color w:val="auto"/>
        </w:rPr>
        <w:t xml:space="preserve">Елагин И.Н. Методика проведения и обработка фенологических наблюдений за деревьями и кустарниками. Красноярск: </w:t>
      </w:r>
      <w:proofErr w:type="spellStart"/>
      <w:r w:rsidR="00E61BDF" w:rsidRPr="005A5EBD">
        <w:rPr>
          <w:color w:val="auto"/>
        </w:rPr>
        <w:t>Метеоиздат</w:t>
      </w:r>
      <w:proofErr w:type="spellEnd"/>
      <w:r w:rsidR="00E61BDF" w:rsidRPr="005A5EBD">
        <w:rPr>
          <w:color w:val="auto"/>
        </w:rPr>
        <w:t xml:space="preserve">, 1975. </w:t>
      </w:r>
      <w:r w:rsidR="00AD185E">
        <w:rPr>
          <w:color w:val="auto"/>
          <w:lang w:val="uk-UA"/>
        </w:rPr>
        <w:t>С</w:t>
      </w:r>
      <w:r w:rsidR="00E61BDF" w:rsidRPr="005A5EBD">
        <w:rPr>
          <w:color w:val="auto"/>
        </w:rPr>
        <w:t>. 3</w:t>
      </w:r>
      <w:r w:rsidR="00AD185E">
        <w:rPr>
          <w:color w:val="auto"/>
          <w:lang w:val="uk-UA"/>
        </w:rPr>
        <w:t>–</w:t>
      </w:r>
      <w:r w:rsidR="00E61BDF" w:rsidRPr="005A5EBD">
        <w:rPr>
          <w:color w:val="auto"/>
        </w:rPr>
        <w:t>20</w:t>
      </w:r>
      <w:r w:rsidR="00AD185E">
        <w:rPr>
          <w:color w:val="auto"/>
          <w:lang w:val="uk-UA"/>
        </w:rPr>
        <w:t>.</w:t>
      </w:r>
      <w:r w:rsidR="00E61BDF" w:rsidRPr="005A5EBD">
        <w:rPr>
          <w:color w:val="auto"/>
        </w:rPr>
        <w:t xml:space="preserve"> </w:t>
      </w:r>
    </w:p>
    <w:p w:rsidR="00E61BDF" w:rsidRPr="005A5EBD" w:rsidRDefault="00A70D2C" w:rsidP="00D43B7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5A5EBD">
        <w:rPr>
          <w:color w:val="auto"/>
          <w:lang w:val="uk-UA"/>
        </w:rPr>
        <w:t xml:space="preserve">3. </w:t>
      </w:r>
      <w:proofErr w:type="spellStart"/>
      <w:r w:rsidR="00E61BDF" w:rsidRPr="005A5EBD">
        <w:rPr>
          <w:color w:val="auto"/>
        </w:rPr>
        <w:t>Крамер</w:t>
      </w:r>
      <w:proofErr w:type="spellEnd"/>
      <w:r w:rsidR="00E61BDF" w:rsidRPr="005A5EBD">
        <w:rPr>
          <w:color w:val="auto"/>
        </w:rPr>
        <w:t xml:space="preserve"> Пол Д., Козловский Теодор Т. Физиология древесных растений. Москва: </w:t>
      </w:r>
      <w:proofErr w:type="spellStart"/>
      <w:r w:rsidR="00E61BDF" w:rsidRPr="005A5EBD">
        <w:rPr>
          <w:color w:val="auto"/>
        </w:rPr>
        <w:t>Лесн</w:t>
      </w:r>
      <w:proofErr w:type="spellEnd"/>
      <w:r w:rsidR="00E61BDF" w:rsidRPr="005A5EBD">
        <w:rPr>
          <w:color w:val="auto"/>
        </w:rPr>
        <w:t xml:space="preserve">. </w:t>
      </w:r>
      <w:proofErr w:type="spellStart"/>
      <w:r w:rsidR="00E61BDF" w:rsidRPr="005A5EBD">
        <w:rPr>
          <w:color w:val="auto"/>
        </w:rPr>
        <w:t>пром-сть</w:t>
      </w:r>
      <w:proofErr w:type="spellEnd"/>
      <w:r w:rsidR="00E61BDF" w:rsidRPr="005A5EBD">
        <w:rPr>
          <w:color w:val="auto"/>
        </w:rPr>
        <w:t xml:space="preserve">, 1983. 464 с. </w:t>
      </w:r>
    </w:p>
    <w:p w:rsidR="00E61BDF" w:rsidRPr="005A5EBD" w:rsidRDefault="00A70D2C" w:rsidP="00D43B7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A5EBD">
        <w:rPr>
          <w:color w:val="auto"/>
          <w:lang w:val="uk-UA"/>
        </w:rPr>
        <w:t xml:space="preserve">4. </w:t>
      </w:r>
      <w:proofErr w:type="spellStart"/>
      <w:r w:rsidR="00E61BDF" w:rsidRPr="005A5EBD">
        <w:rPr>
          <w:color w:val="auto"/>
        </w:rPr>
        <w:t>Мавко</w:t>
      </w:r>
      <w:proofErr w:type="spellEnd"/>
      <w:r w:rsidR="00E61BDF" w:rsidRPr="005A5EBD">
        <w:rPr>
          <w:color w:val="auto"/>
        </w:rPr>
        <w:t xml:space="preserve"> М.С. </w:t>
      </w:r>
      <w:proofErr w:type="gramStart"/>
      <w:r w:rsidR="00E61BDF" w:rsidRPr="005A5EBD">
        <w:rPr>
          <w:color w:val="auto"/>
        </w:rPr>
        <w:t>Сезонна</w:t>
      </w:r>
      <w:proofErr w:type="gramEnd"/>
      <w:r w:rsidR="00E61BDF" w:rsidRPr="005A5EBD">
        <w:rPr>
          <w:color w:val="auto"/>
        </w:rPr>
        <w:t xml:space="preserve"> </w:t>
      </w:r>
      <w:proofErr w:type="spellStart"/>
      <w:r w:rsidR="00E61BDF" w:rsidRPr="005A5EBD">
        <w:rPr>
          <w:color w:val="auto"/>
        </w:rPr>
        <w:t>динаміка</w:t>
      </w:r>
      <w:proofErr w:type="spellEnd"/>
      <w:r w:rsidR="00E61BDF" w:rsidRPr="005A5EBD">
        <w:rPr>
          <w:color w:val="auto"/>
        </w:rPr>
        <w:t xml:space="preserve"> колориту </w:t>
      </w:r>
      <w:proofErr w:type="spellStart"/>
      <w:r w:rsidR="00E61BDF" w:rsidRPr="005A5EBD">
        <w:rPr>
          <w:color w:val="auto"/>
        </w:rPr>
        <w:t>паркових</w:t>
      </w:r>
      <w:proofErr w:type="spellEnd"/>
      <w:r w:rsidR="00E61BDF" w:rsidRPr="005A5EBD">
        <w:rPr>
          <w:color w:val="auto"/>
        </w:rPr>
        <w:t xml:space="preserve"> </w:t>
      </w:r>
      <w:proofErr w:type="spellStart"/>
      <w:r w:rsidR="00E61BDF" w:rsidRPr="005A5EBD">
        <w:rPr>
          <w:color w:val="auto"/>
        </w:rPr>
        <w:t>ландшафтів</w:t>
      </w:r>
      <w:proofErr w:type="spellEnd"/>
      <w:r w:rsidR="00E61BDF" w:rsidRPr="005A5EBD">
        <w:rPr>
          <w:color w:val="auto"/>
        </w:rPr>
        <w:t xml:space="preserve"> м. </w:t>
      </w:r>
      <w:proofErr w:type="spellStart"/>
      <w:r w:rsidR="00E61BDF" w:rsidRPr="005A5EBD">
        <w:rPr>
          <w:color w:val="auto"/>
        </w:rPr>
        <w:t>Києва</w:t>
      </w:r>
      <w:proofErr w:type="spellEnd"/>
      <w:r w:rsidR="00E61BDF" w:rsidRPr="005A5EBD">
        <w:rPr>
          <w:color w:val="auto"/>
        </w:rPr>
        <w:t xml:space="preserve">: </w:t>
      </w:r>
      <w:proofErr w:type="spellStart"/>
      <w:r w:rsidR="00E61BDF" w:rsidRPr="005A5EBD">
        <w:rPr>
          <w:color w:val="auto"/>
        </w:rPr>
        <w:t>автореф</w:t>
      </w:r>
      <w:proofErr w:type="spellEnd"/>
      <w:r w:rsidR="00E61BDF" w:rsidRPr="005A5EBD">
        <w:rPr>
          <w:color w:val="auto"/>
        </w:rPr>
        <w:t xml:space="preserve">. </w:t>
      </w:r>
      <w:proofErr w:type="spellStart"/>
      <w:r w:rsidR="00E61BDF" w:rsidRPr="005A5EBD">
        <w:rPr>
          <w:color w:val="auto"/>
        </w:rPr>
        <w:t>дис</w:t>
      </w:r>
      <w:proofErr w:type="spellEnd"/>
      <w:r w:rsidR="00E61BDF" w:rsidRPr="005A5EBD">
        <w:rPr>
          <w:color w:val="auto"/>
        </w:rPr>
        <w:t xml:space="preserve">… канд. с.-г. наук. 06.03.01. </w:t>
      </w:r>
      <w:proofErr w:type="spellStart"/>
      <w:r w:rsidR="00E61BDF" w:rsidRPr="005A5EBD">
        <w:rPr>
          <w:color w:val="auto"/>
        </w:rPr>
        <w:t>Київ</w:t>
      </w:r>
      <w:proofErr w:type="spellEnd"/>
      <w:r w:rsidR="00E61BDF" w:rsidRPr="005A5EBD">
        <w:rPr>
          <w:color w:val="auto"/>
        </w:rPr>
        <w:t xml:space="preserve">, 2018. 26 c. URL: https://nubip.edu.ua/node/52261 </w:t>
      </w:r>
    </w:p>
    <w:p w:rsidR="00E61BDF" w:rsidRPr="00D5744C" w:rsidRDefault="00A70D2C" w:rsidP="00D43B70">
      <w:pPr>
        <w:pStyle w:val="Default"/>
        <w:ind w:firstLine="709"/>
        <w:jc w:val="both"/>
        <w:rPr>
          <w:color w:val="auto"/>
          <w:lang w:val="uk-UA"/>
        </w:rPr>
      </w:pPr>
      <w:r w:rsidRPr="005A5EBD">
        <w:rPr>
          <w:color w:val="auto"/>
          <w:lang w:val="uk-UA"/>
        </w:rPr>
        <w:t xml:space="preserve">5. </w:t>
      </w:r>
      <w:proofErr w:type="spellStart"/>
      <w:r w:rsidR="00E61BDF" w:rsidRPr="005A5EBD">
        <w:rPr>
          <w:color w:val="auto"/>
          <w:lang w:val="en-US"/>
        </w:rPr>
        <w:t>Oleksiichenko</w:t>
      </w:r>
      <w:proofErr w:type="spellEnd"/>
      <w:r w:rsidR="00E61BDF" w:rsidRPr="005A5EBD">
        <w:rPr>
          <w:color w:val="auto"/>
          <w:lang w:val="en-US"/>
        </w:rPr>
        <w:t xml:space="preserve"> N., </w:t>
      </w:r>
      <w:proofErr w:type="spellStart"/>
      <w:r w:rsidR="00E61BDF" w:rsidRPr="005A5EBD">
        <w:rPr>
          <w:color w:val="auto"/>
          <w:lang w:val="en-US"/>
        </w:rPr>
        <w:t>Gatalska</w:t>
      </w:r>
      <w:proofErr w:type="spellEnd"/>
      <w:r w:rsidR="00E61BDF" w:rsidRPr="005A5EBD">
        <w:rPr>
          <w:color w:val="auto"/>
          <w:lang w:val="en-US"/>
        </w:rPr>
        <w:t xml:space="preserve"> N., </w:t>
      </w:r>
      <w:proofErr w:type="spellStart"/>
      <w:r w:rsidR="00E61BDF" w:rsidRPr="005A5EBD">
        <w:rPr>
          <w:color w:val="auto"/>
          <w:lang w:val="en-US"/>
        </w:rPr>
        <w:t>Mavko</w:t>
      </w:r>
      <w:proofErr w:type="spellEnd"/>
      <w:r w:rsidR="00E61BDF" w:rsidRPr="005A5EBD">
        <w:rPr>
          <w:color w:val="auto"/>
          <w:lang w:val="en-US"/>
        </w:rPr>
        <w:t xml:space="preserve"> </w:t>
      </w:r>
      <w:proofErr w:type="gramStart"/>
      <w:r w:rsidR="00E61BDF" w:rsidRPr="005A5EBD">
        <w:rPr>
          <w:color w:val="auto"/>
          <w:lang w:val="en-US"/>
        </w:rPr>
        <w:t>M .</w:t>
      </w:r>
      <w:proofErr w:type="gramEnd"/>
      <w:r w:rsidR="00E61BDF" w:rsidRPr="005A5EBD">
        <w:rPr>
          <w:color w:val="auto"/>
          <w:lang w:val="en-US"/>
        </w:rPr>
        <w:t xml:space="preserve"> </w:t>
      </w:r>
      <w:proofErr w:type="gramStart"/>
      <w:r w:rsidR="00E61BDF" w:rsidRPr="005A5EBD">
        <w:rPr>
          <w:color w:val="auto"/>
          <w:lang w:val="en-US"/>
        </w:rPr>
        <w:t xml:space="preserve">The </w:t>
      </w:r>
      <w:proofErr w:type="spellStart"/>
      <w:r w:rsidR="00E61BDF" w:rsidRPr="005A5EBD">
        <w:rPr>
          <w:color w:val="auto"/>
          <w:lang w:val="en-US"/>
        </w:rPr>
        <w:t>colour</w:t>
      </w:r>
      <w:proofErr w:type="spellEnd"/>
      <w:r w:rsidR="00E61BDF" w:rsidRPr="005A5EBD">
        <w:rPr>
          <w:color w:val="auto"/>
          <w:lang w:val="en-US"/>
        </w:rPr>
        <w:t xml:space="preserve">-forming components of park landscape and the factors that influence the human perception of the landscape </w:t>
      </w:r>
      <w:proofErr w:type="spellStart"/>
      <w:r w:rsidR="00E61BDF" w:rsidRPr="005A5EBD">
        <w:rPr>
          <w:color w:val="auto"/>
          <w:lang w:val="en-US"/>
        </w:rPr>
        <w:t>colouring</w:t>
      </w:r>
      <w:proofErr w:type="spellEnd"/>
      <w:r w:rsidR="00E61BDF" w:rsidRPr="005A5EBD">
        <w:rPr>
          <w:color w:val="auto"/>
          <w:lang w:val="en-US"/>
        </w:rPr>
        <w:t>.</w:t>
      </w:r>
      <w:proofErr w:type="gramEnd"/>
      <w:r w:rsidR="00E61BDF" w:rsidRPr="005A5EBD">
        <w:rPr>
          <w:color w:val="auto"/>
          <w:lang w:val="en-US"/>
        </w:rPr>
        <w:t xml:space="preserve"> </w:t>
      </w:r>
      <w:proofErr w:type="gramStart"/>
      <w:r w:rsidR="00E61BDF" w:rsidRPr="005A5EBD">
        <w:rPr>
          <w:color w:val="auto"/>
          <w:lang w:val="en-US"/>
        </w:rPr>
        <w:lastRenderedPageBreak/>
        <w:t>Theoretical and Empirical Researches in Urban Management.</w:t>
      </w:r>
      <w:proofErr w:type="gramEnd"/>
      <w:r w:rsidR="00E61BDF" w:rsidRPr="005A5EBD">
        <w:rPr>
          <w:color w:val="auto"/>
          <w:lang w:val="en-US"/>
        </w:rPr>
        <w:t xml:space="preserve"> 2018. Vol. 13, Issue 2. P. 38</w:t>
      </w:r>
      <w:r w:rsidR="00AD185E">
        <w:rPr>
          <w:color w:val="auto"/>
          <w:lang w:val="uk-UA"/>
        </w:rPr>
        <w:t>–</w:t>
      </w:r>
      <w:r w:rsidR="00E61BDF" w:rsidRPr="005A5EBD">
        <w:rPr>
          <w:color w:val="auto"/>
          <w:lang w:val="en-US"/>
        </w:rPr>
        <w:t xml:space="preserve">52. </w:t>
      </w:r>
      <w:r w:rsidR="00E61BDF" w:rsidRPr="005A5EBD">
        <w:rPr>
          <w:color w:val="auto"/>
        </w:rPr>
        <w:t xml:space="preserve">URL: http://um.ase.ro/no132/3.pdf </w:t>
      </w:r>
    </w:p>
    <w:sectPr w:rsidR="00E61BDF" w:rsidRPr="00D5744C" w:rsidSect="008700AD">
      <w:pgSz w:w="11907" w:h="16840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0D0D"/>
    <w:multiLevelType w:val="hybridMultilevel"/>
    <w:tmpl w:val="D6968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D3DBA4"/>
    <w:multiLevelType w:val="hybridMultilevel"/>
    <w:tmpl w:val="281284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30F32E"/>
    <w:multiLevelType w:val="hybridMultilevel"/>
    <w:tmpl w:val="D8D1BA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24F4F8"/>
    <w:multiLevelType w:val="hybridMultilevel"/>
    <w:tmpl w:val="5DF13E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693A646"/>
    <w:multiLevelType w:val="hybridMultilevel"/>
    <w:tmpl w:val="570B64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B5146"/>
    <w:rsid w:val="00054EAA"/>
    <w:rsid w:val="00071896"/>
    <w:rsid w:val="0009070B"/>
    <w:rsid w:val="000D7676"/>
    <w:rsid w:val="00117C28"/>
    <w:rsid w:val="00120C2B"/>
    <w:rsid w:val="001D0BAE"/>
    <w:rsid w:val="001D5C50"/>
    <w:rsid w:val="001E4E52"/>
    <w:rsid w:val="001F7CD9"/>
    <w:rsid w:val="002412C5"/>
    <w:rsid w:val="00243C42"/>
    <w:rsid w:val="00296F3E"/>
    <w:rsid w:val="002D540A"/>
    <w:rsid w:val="003176E5"/>
    <w:rsid w:val="003202FE"/>
    <w:rsid w:val="00347497"/>
    <w:rsid w:val="00355F8A"/>
    <w:rsid w:val="003652F7"/>
    <w:rsid w:val="003B5E8C"/>
    <w:rsid w:val="004731AA"/>
    <w:rsid w:val="00475AAF"/>
    <w:rsid w:val="004A3A54"/>
    <w:rsid w:val="004F4840"/>
    <w:rsid w:val="00520C83"/>
    <w:rsid w:val="00552D41"/>
    <w:rsid w:val="005A0968"/>
    <w:rsid w:val="005A5EBD"/>
    <w:rsid w:val="005C3A7E"/>
    <w:rsid w:val="00612C4C"/>
    <w:rsid w:val="006140F6"/>
    <w:rsid w:val="006B5D00"/>
    <w:rsid w:val="006F64F7"/>
    <w:rsid w:val="00707F4F"/>
    <w:rsid w:val="00716730"/>
    <w:rsid w:val="007B5146"/>
    <w:rsid w:val="007E4981"/>
    <w:rsid w:val="0081312E"/>
    <w:rsid w:val="0081797C"/>
    <w:rsid w:val="008670ED"/>
    <w:rsid w:val="008700AD"/>
    <w:rsid w:val="00870840"/>
    <w:rsid w:val="00881AA9"/>
    <w:rsid w:val="00886832"/>
    <w:rsid w:val="008E60ED"/>
    <w:rsid w:val="00902385"/>
    <w:rsid w:val="0092177F"/>
    <w:rsid w:val="00975CD4"/>
    <w:rsid w:val="009948F7"/>
    <w:rsid w:val="009C3B22"/>
    <w:rsid w:val="009F1A70"/>
    <w:rsid w:val="009F7FCA"/>
    <w:rsid w:val="00A530E5"/>
    <w:rsid w:val="00A70D2C"/>
    <w:rsid w:val="00A77192"/>
    <w:rsid w:val="00AD185E"/>
    <w:rsid w:val="00AE0568"/>
    <w:rsid w:val="00AF2BA8"/>
    <w:rsid w:val="00B17D0E"/>
    <w:rsid w:val="00B30BFC"/>
    <w:rsid w:val="00BB2503"/>
    <w:rsid w:val="00BB4262"/>
    <w:rsid w:val="00C2385B"/>
    <w:rsid w:val="00C6462F"/>
    <w:rsid w:val="00C84AC6"/>
    <w:rsid w:val="00CD3699"/>
    <w:rsid w:val="00D0789B"/>
    <w:rsid w:val="00D12A20"/>
    <w:rsid w:val="00D20599"/>
    <w:rsid w:val="00D36409"/>
    <w:rsid w:val="00D407C2"/>
    <w:rsid w:val="00D43B70"/>
    <w:rsid w:val="00D5744C"/>
    <w:rsid w:val="00DC14D1"/>
    <w:rsid w:val="00DD3AE2"/>
    <w:rsid w:val="00DF4D07"/>
    <w:rsid w:val="00DF4D37"/>
    <w:rsid w:val="00E23F1B"/>
    <w:rsid w:val="00E33E78"/>
    <w:rsid w:val="00E53662"/>
    <w:rsid w:val="00E61BDF"/>
    <w:rsid w:val="00F537A6"/>
    <w:rsid w:val="00F63237"/>
    <w:rsid w:val="00F71D23"/>
    <w:rsid w:val="00F71F0E"/>
    <w:rsid w:val="00F77FE4"/>
    <w:rsid w:val="00FB48E4"/>
    <w:rsid w:val="00FC31B4"/>
    <w:rsid w:val="00FD2AFF"/>
    <w:rsid w:val="00FD2FFA"/>
    <w:rsid w:val="00FD5C7F"/>
    <w:rsid w:val="00FE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146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7B51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323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63237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Loner\Application%20Data\Microsoft\Word\nataly_kend@ukr.ne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687C-FE84-420A-84A1-C0ECC1BD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4829</Words>
  <Characters>2754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dcterms:created xsi:type="dcterms:W3CDTF">2020-06-29T15:51:00Z</dcterms:created>
  <dcterms:modified xsi:type="dcterms:W3CDTF">2020-06-29T15:51:00Z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UkrEng**</vt:lpwstr>
  </property>
</Properties>
</file>