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5A18D9" w14:textId="77777777" w:rsidR="00114B5C" w:rsidRPr="00C72952" w:rsidRDefault="3430C036" w:rsidP="3430C036">
      <w:pPr>
        <w:jc w:val="both"/>
        <w:rPr>
          <w:rFonts w:ascii="Times New Roman" w:eastAsia="Times New Roman" w:hAnsi="Times New Roman" w:cs="Times New Roman"/>
          <w:b/>
          <w:bCs/>
          <w:color w:val="000000" w:themeColor="text1"/>
        </w:rPr>
      </w:pPr>
      <w:r w:rsidRPr="00C72952">
        <w:rPr>
          <w:rFonts w:ascii="Times New Roman" w:eastAsia="Times New Roman" w:hAnsi="Times New Roman" w:cs="Times New Roman"/>
          <w:b/>
          <w:bCs/>
          <w:color w:val="000000" w:themeColor="text1"/>
        </w:rPr>
        <w:t>УДК</w:t>
      </w:r>
    </w:p>
    <w:p w14:paraId="3A0AB908" w14:textId="67214327" w:rsidR="00114B5C" w:rsidRPr="00C72952" w:rsidRDefault="3430C036" w:rsidP="3430C036">
      <w:pPr>
        <w:spacing w:after="0"/>
        <w:jc w:val="both"/>
        <w:rPr>
          <w:rFonts w:ascii="Times New Roman" w:eastAsia="Times New Roman" w:hAnsi="Times New Roman" w:cs="Times New Roman"/>
          <w:b/>
          <w:bCs/>
          <w:vertAlign w:val="superscript"/>
        </w:rPr>
      </w:pPr>
      <w:r w:rsidRPr="00C72952">
        <w:rPr>
          <w:rFonts w:ascii="Times New Roman" w:eastAsia="Times New Roman" w:hAnsi="Times New Roman" w:cs="Times New Roman"/>
          <w:b/>
          <w:bCs/>
        </w:rPr>
        <w:t>В.М. Баланюк</w:t>
      </w:r>
      <w:r w:rsidRPr="00C72952">
        <w:rPr>
          <w:rFonts w:ascii="Times New Roman" w:eastAsia="Times New Roman" w:hAnsi="Times New Roman" w:cs="Times New Roman"/>
          <w:b/>
          <w:bCs/>
          <w:vertAlign w:val="superscript"/>
        </w:rPr>
        <w:t>1</w:t>
      </w:r>
      <w:r w:rsidRPr="00C72952">
        <w:rPr>
          <w:rFonts w:ascii="Times New Roman" w:eastAsia="Times New Roman" w:hAnsi="Times New Roman" w:cs="Times New Roman"/>
          <w:b/>
          <w:bCs/>
        </w:rPr>
        <w:t>,</w:t>
      </w:r>
      <w:r w:rsidRPr="00C72952">
        <w:rPr>
          <w:rFonts w:ascii="Times New Roman" w:eastAsia="Times New Roman" w:hAnsi="Times New Roman" w:cs="Times New Roman"/>
        </w:rPr>
        <w:t xml:space="preserve"> доктор т.н, доцент, </w:t>
      </w:r>
    </w:p>
    <w:p w14:paraId="04CB71E7" w14:textId="77777777" w:rsidR="00114B5C" w:rsidRPr="00C72952" w:rsidRDefault="3430C036" w:rsidP="3430C036">
      <w:pPr>
        <w:spacing w:after="0"/>
        <w:jc w:val="both"/>
        <w:rPr>
          <w:rFonts w:ascii="Times New Roman" w:eastAsia="Times New Roman" w:hAnsi="Times New Roman" w:cs="Times New Roman"/>
        </w:rPr>
      </w:pPr>
      <w:r w:rsidRPr="00C72952">
        <w:rPr>
          <w:rFonts w:ascii="Times New Roman" w:eastAsia="Times New Roman" w:hAnsi="Times New Roman" w:cs="Times New Roman"/>
        </w:rPr>
        <w:t>(Львівський державний університет безпеки життєдіяльності)</w:t>
      </w:r>
    </w:p>
    <w:p w14:paraId="61659A86" w14:textId="34038FA0" w:rsidR="00C72952" w:rsidRPr="00C72952" w:rsidRDefault="7E9EEFC8" w:rsidP="00C72952">
      <w:pPr>
        <w:spacing w:after="0"/>
        <w:jc w:val="both"/>
        <w:rPr>
          <w:rFonts w:ascii="Times New Roman" w:eastAsia="Times New Roman" w:hAnsi="Times New Roman" w:cs="Times New Roman"/>
        </w:rPr>
      </w:pPr>
      <w:r w:rsidRPr="00C72952">
        <w:rPr>
          <w:rFonts w:ascii="Times New Roman" w:eastAsia="Times New Roman" w:hAnsi="Times New Roman" w:cs="Times New Roman"/>
          <w:b/>
          <w:bCs/>
        </w:rPr>
        <w:t>О.М. Іващишин</w:t>
      </w:r>
      <w:r w:rsidRPr="00C72952">
        <w:rPr>
          <w:rFonts w:ascii="Times New Roman" w:eastAsia="Times New Roman" w:hAnsi="Times New Roman" w:cs="Times New Roman"/>
          <w:b/>
          <w:bCs/>
          <w:vertAlign w:val="superscript"/>
        </w:rPr>
        <w:t>2</w:t>
      </w:r>
      <w:r w:rsidRPr="00C72952">
        <w:rPr>
          <w:rFonts w:ascii="Times New Roman" w:eastAsia="Times New Roman" w:hAnsi="Times New Roman" w:cs="Times New Roman"/>
        </w:rPr>
        <w:t xml:space="preserve"> </w:t>
      </w:r>
      <w:r w:rsidR="00C72952" w:rsidRPr="00C72952">
        <w:rPr>
          <w:rFonts w:ascii="Times New Roman" w:eastAsia="Times New Roman" w:hAnsi="Times New Roman" w:cs="Times New Roman"/>
        </w:rPr>
        <w:t>(Львівський державний університет безпеки життєдіяльності)</w:t>
      </w:r>
    </w:p>
    <w:p w14:paraId="068FAF6A" w14:textId="77777777" w:rsidR="00C72952" w:rsidRPr="00C72952" w:rsidRDefault="00C72952" w:rsidP="00C72952">
      <w:pPr>
        <w:spacing w:after="0"/>
        <w:jc w:val="both"/>
        <w:rPr>
          <w:rFonts w:ascii="Times New Roman" w:eastAsia="Times New Roman" w:hAnsi="Times New Roman" w:cs="Times New Roman"/>
        </w:rPr>
      </w:pPr>
      <w:r w:rsidRPr="00C72952">
        <w:rPr>
          <w:rFonts w:ascii="Times New Roman" w:eastAsia="Times New Roman" w:hAnsi="Times New Roman" w:cs="Times New Roman"/>
          <w:b/>
        </w:rPr>
        <w:t>О.І. Гірский</w:t>
      </w:r>
      <w:r w:rsidRPr="00C72952">
        <w:rPr>
          <w:rFonts w:ascii="Times New Roman" w:eastAsia="Times New Roman" w:hAnsi="Times New Roman" w:cs="Times New Roman"/>
          <w:b/>
          <w:vertAlign w:val="superscript"/>
        </w:rPr>
        <w:t xml:space="preserve">2 </w:t>
      </w:r>
      <w:r w:rsidRPr="00C72952">
        <w:rPr>
          <w:rFonts w:ascii="Times New Roman" w:eastAsia="Times New Roman" w:hAnsi="Times New Roman" w:cs="Times New Roman"/>
        </w:rPr>
        <w:t>(Львівський державний університет безпеки життєдіяльності)</w:t>
      </w:r>
    </w:p>
    <w:p w14:paraId="7A66164F" w14:textId="77777777" w:rsidR="002948BF" w:rsidRDefault="002948BF" w:rsidP="00C72952">
      <w:pPr>
        <w:jc w:val="center"/>
        <w:rPr>
          <w:rFonts w:ascii="Times New Roman" w:eastAsia="Times New Roman" w:hAnsi="Times New Roman" w:cs="Times New Roman"/>
          <w:b/>
          <w:bCs/>
          <w:color w:val="000000" w:themeColor="text1"/>
        </w:rPr>
      </w:pPr>
    </w:p>
    <w:p w14:paraId="57DB277D" w14:textId="0B169DF9" w:rsidR="00114B5C" w:rsidRPr="00C72952" w:rsidRDefault="3430C036" w:rsidP="00C72952">
      <w:pPr>
        <w:jc w:val="center"/>
        <w:rPr>
          <w:rFonts w:ascii="Times New Roman" w:eastAsia="Times New Roman" w:hAnsi="Times New Roman" w:cs="Times New Roman"/>
          <w:b/>
          <w:bCs/>
          <w:color w:val="000000" w:themeColor="text1"/>
        </w:rPr>
      </w:pPr>
      <w:r w:rsidRPr="00C72952">
        <w:rPr>
          <w:rFonts w:ascii="Times New Roman" w:eastAsia="Times New Roman" w:hAnsi="Times New Roman" w:cs="Times New Roman"/>
          <w:b/>
          <w:bCs/>
          <w:color w:val="000000" w:themeColor="text1"/>
        </w:rPr>
        <w:t>ВИПРОБУВАЛЬНО - ДОСЛІДН</w:t>
      </w:r>
      <w:r w:rsidR="002948BF">
        <w:rPr>
          <w:rFonts w:ascii="Times New Roman" w:eastAsia="Times New Roman" w:hAnsi="Times New Roman" w:cs="Times New Roman"/>
          <w:b/>
          <w:bCs/>
          <w:color w:val="000000" w:themeColor="text1"/>
        </w:rPr>
        <w:t>А</w:t>
      </w:r>
      <w:r w:rsidRPr="00C72952">
        <w:rPr>
          <w:rFonts w:ascii="Times New Roman" w:eastAsia="Times New Roman" w:hAnsi="Times New Roman" w:cs="Times New Roman"/>
          <w:b/>
          <w:bCs/>
          <w:color w:val="000000" w:themeColor="text1"/>
        </w:rPr>
        <w:t xml:space="preserve"> БАЗ</w:t>
      </w:r>
      <w:r w:rsidR="002948BF">
        <w:rPr>
          <w:rFonts w:ascii="Times New Roman" w:eastAsia="Times New Roman" w:hAnsi="Times New Roman" w:cs="Times New Roman"/>
          <w:b/>
          <w:bCs/>
          <w:color w:val="000000" w:themeColor="text1"/>
        </w:rPr>
        <w:t>А</w:t>
      </w:r>
    </w:p>
    <w:p w14:paraId="3019AA77" w14:textId="77777777" w:rsidR="00114B5C" w:rsidRPr="00C72952" w:rsidRDefault="3430C036" w:rsidP="00C72952">
      <w:pPr>
        <w:jc w:val="center"/>
        <w:rPr>
          <w:rFonts w:ascii="Times New Roman" w:eastAsia="Times New Roman" w:hAnsi="Times New Roman" w:cs="Times New Roman"/>
          <w:b/>
          <w:bCs/>
          <w:color w:val="000000" w:themeColor="text1"/>
        </w:rPr>
      </w:pPr>
      <w:r w:rsidRPr="00C72952">
        <w:rPr>
          <w:rFonts w:ascii="Times New Roman" w:eastAsia="Times New Roman" w:hAnsi="Times New Roman" w:cs="Times New Roman"/>
          <w:b/>
          <w:bCs/>
          <w:color w:val="000000" w:themeColor="text1"/>
        </w:rPr>
        <w:t>ЗАСОБІВ ОБ’ЄМНОГО ГАСІННЯ В УКРАЇНІ</w:t>
      </w:r>
    </w:p>
    <w:p w14:paraId="78CE684F" w14:textId="08DC7556" w:rsidR="00114B5C" w:rsidRPr="00C72952" w:rsidRDefault="44B22A09" w:rsidP="3430C036">
      <w:pPr>
        <w:spacing w:before="240" w:after="240" w:line="240" w:lineRule="auto"/>
        <w:ind w:firstLine="567"/>
        <w:jc w:val="both"/>
        <w:rPr>
          <w:rFonts w:ascii="Times New Roman" w:eastAsia="Times New Roman" w:hAnsi="Times New Roman" w:cs="Times New Roman"/>
          <w:iCs/>
          <w:color w:val="000000" w:themeColor="text1"/>
          <w:sz w:val="20"/>
          <w:szCs w:val="20"/>
        </w:rPr>
      </w:pPr>
      <w:r w:rsidRPr="00C72952">
        <w:rPr>
          <w:rFonts w:ascii="Times New Roman" w:eastAsia="Times New Roman" w:hAnsi="Times New Roman" w:cs="Times New Roman"/>
          <w:iCs/>
          <w:color w:val="000000" w:themeColor="text1"/>
          <w:sz w:val="20"/>
          <w:szCs w:val="20"/>
        </w:rPr>
        <w:t>У статті розглянуто актуальну проблему створення та розвитку випробувально-дослідної бази засобів обʼємного гасіння в Україні. Питання ефективного гасіння пожеж у замкнених об’ємах є надзвичайно важливим через складність забезпечення рівномірного розподілу вогнегасної речовини та підтримання необхідної концентрації в усьому об’ємі. Перегородки, конструктивні елементи будівель і обмеження циркуляції повітря значно ускладнюють процес поширення вогнегасного середовища, що унеможливлює повне припинення горіння. Наявні методики випробування засобів об’ємного гасіння не враховують цих просторових факторів і не відображають реальних умов експлуатації систем.</w:t>
      </w:r>
    </w:p>
    <w:p w14:paraId="7CDDE715" w14:textId="310042E1" w:rsidR="00114B5C" w:rsidRPr="00C72952" w:rsidRDefault="44B22A09" w:rsidP="3430C036">
      <w:pPr>
        <w:spacing w:before="240" w:after="240" w:line="240" w:lineRule="auto"/>
        <w:ind w:firstLine="567"/>
        <w:jc w:val="both"/>
        <w:rPr>
          <w:rFonts w:ascii="Times New Roman" w:eastAsia="Times New Roman" w:hAnsi="Times New Roman" w:cs="Times New Roman"/>
          <w:iCs/>
          <w:color w:val="000000" w:themeColor="text1"/>
          <w:sz w:val="20"/>
          <w:szCs w:val="20"/>
        </w:rPr>
      </w:pPr>
      <w:r w:rsidRPr="00C72952">
        <w:rPr>
          <w:rFonts w:ascii="Times New Roman" w:eastAsia="Times New Roman" w:hAnsi="Times New Roman" w:cs="Times New Roman"/>
          <w:iCs/>
          <w:color w:val="000000" w:themeColor="text1"/>
          <w:sz w:val="20"/>
          <w:szCs w:val="20"/>
        </w:rPr>
        <w:t>Метою дослідження є аналіз чинної нормативно-технічної бази та наукових джерел щодо визначення вогнегасних і флегматизувальних властивостей дисперсних вогнегасних речовин, виявлення недоліків існуючих методик випробування та розроблення рекомендацій щодо їх удосконалення. Встановлено, що чинні стандарти не враховують особливостей поширення вогнегасних речовин у приміщеннях складної конфігурації, що знижує ефективність їх дії. Аерозольні системи характеризуються високою стабільністю концентрації, однак не забезпечують рівномірного розподілу частинок за наявності перегородок і зон обмеженого доступу. Порошкові засоби мають короткочасну дію через осідання частинок, тоді як газові системи забезпечують рівномірне заповнення простору, але вимагають точного розрахунку параметрів концентрації та часу подавання. Виявлено також, що стандарти ISO</w:t>
      </w:r>
      <w:r w:rsidR="42D68495" w:rsidRPr="00C72952">
        <w:rPr>
          <w:rFonts w:ascii="Times New Roman" w:eastAsia="Times New Roman" w:hAnsi="Times New Roman" w:cs="Times New Roman"/>
          <w:iCs/>
          <w:color w:val="000000" w:themeColor="text1"/>
          <w:sz w:val="20"/>
          <w:szCs w:val="20"/>
        </w:rPr>
        <w:t xml:space="preserve"> та </w:t>
      </w:r>
      <w:r w:rsidRPr="00C72952">
        <w:rPr>
          <w:rFonts w:ascii="Times New Roman" w:eastAsia="Times New Roman" w:hAnsi="Times New Roman" w:cs="Times New Roman"/>
          <w:iCs/>
          <w:color w:val="000000" w:themeColor="text1"/>
          <w:sz w:val="20"/>
          <w:szCs w:val="20"/>
        </w:rPr>
        <w:t>EN не завжди адаптовані до національних умов експлуатації, тому виникає потреба у створенні випробувально-дослідної бази для перевірки ефективності засобів об’ємного гасіння у моделях приміщень різної геометрії.</w:t>
      </w:r>
    </w:p>
    <w:p w14:paraId="3853CFB0" w14:textId="20E9ADF4" w:rsidR="00114B5C" w:rsidRPr="00C72952" w:rsidRDefault="44B22A09" w:rsidP="3430C036">
      <w:pPr>
        <w:spacing w:before="240" w:after="240" w:line="240" w:lineRule="auto"/>
        <w:ind w:firstLine="567"/>
        <w:jc w:val="both"/>
        <w:rPr>
          <w:rFonts w:ascii="Times New Roman" w:eastAsia="Times New Roman" w:hAnsi="Times New Roman" w:cs="Times New Roman"/>
          <w:iCs/>
          <w:color w:val="000000" w:themeColor="text1"/>
          <w:sz w:val="20"/>
          <w:szCs w:val="20"/>
        </w:rPr>
      </w:pPr>
      <w:r w:rsidRPr="00C72952">
        <w:rPr>
          <w:rFonts w:ascii="Times New Roman" w:eastAsia="Times New Roman" w:hAnsi="Times New Roman" w:cs="Times New Roman"/>
          <w:iCs/>
          <w:color w:val="000000" w:themeColor="text1"/>
          <w:sz w:val="20"/>
          <w:szCs w:val="20"/>
        </w:rPr>
        <w:t>Отримані результати можуть бути використані під час розроблення нових нормативних документів, підвищення надійності систем протипожежного захисту та вдосконалення методик оцінювання ефективності вогнегасних речовин. Вони створюють наукове підґрунтя для формування сучасних підходів до класифікації об’ємних засобів пожежогасіння. Подальші дослідження спрямовуватимуться на експериментальну перевірку теоретичних висновків і впровадження нових критеріїв оцінки їх ефективності.</w:t>
      </w:r>
    </w:p>
    <w:p w14:paraId="60C43863" w14:textId="4324AAA0" w:rsidR="00114B5C" w:rsidRPr="00C72952" w:rsidRDefault="44B22A09" w:rsidP="3430C036">
      <w:pPr>
        <w:spacing w:before="240" w:after="240" w:line="24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b/>
          <w:bCs/>
          <w:color w:val="000000" w:themeColor="text1"/>
        </w:rPr>
        <w:t>Ключові слова:</w:t>
      </w:r>
      <w:r w:rsidRPr="00C72952">
        <w:rPr>
          <w:rFonts w:ascii="Times New Roman" w:eastAsia="Times New Roman" w:hAnsi="Times New Roman" w:cs="Times New Roman"/>
          <w:color w:val="000000" w:themeColor="text1"/>
        </w:rPr>
        <w:t xml:space="preserve"> обʼємне гасіння, випробувально-дослідна база, газові, порошкові й аерозольні системи пожежогасіння.</w:t>
      </w:r>
    </w:p>
    <w:p w14:paraId="18275208" w14:textId="77777777" w:rsidR="00114B5C" w:rsidRPr="00C72952" w:rsidRDefault="3430C036" w:rsidP="3430C036">
      <w:pPr>
        <w:spacing w:line="360" w:lineRule="auto"/>
        <w:ind w:firstLine="567"/>
        <w:jc w:val="both"/>
        <w:rPr>
          <w:rFonts w:ascii="Times New Roman" w:eastAsia="Times New Roman" w:hAnsi="Times New Roman" w:cs="Times New Roman"/>
          <w:b/>
          <w:bCs/>
        </w:rPr>
      </w:pPr>
      <w:r w:rsidRPr="00C72952">
        <w:rPr>
          <w:rFonts w:ascii="Times New Roman" w:eastAsia="Times New Roman" w:hAnsi="Times New Roman" w:cs="Times New Roman"/>
          <w:b/>
          <w:bCs/>
        </w:rPr>
        <w:t>Вступ</w:t>
      </w:r>
    </w:p>
    <w:p w14:paraId="7EC5F8B1" w14:textId="157F73C3" w:rsidR="00114B5C" w:rsidRPr="00C72952" w:rsidRDefault="3430C036" w:rsidP="3430C036">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Проблема ефективного гасіння пожеж у замкнених об’ємах залишається однією з найактуальніших у сфері пожежної безпеки. Сучасні об’єкти мають складну просторову структуру, наявність перегородок, вентиляційних каналів, технологічних шахт, що ускладнює доступ вогнегасних речовин до осередку горіння.</w:t>
      </w:r>
      <w:r w:rsidR="04DCED43" w:rsidRPr="00C72952">
        <w:rPr>
          <w:rFonts w:ascii="Times New Roman" w:eastAsia="Times New Roman" w:hAnsi="Times New Roman" w:cs="Times New Roman"/>
          <w:color w:val="000000" w:themeColor="text1"/>
        </w:rPr>
        <w:t>[1]</w:t>
      </w:r>
      <w:r w:rsidRPr="00C72952">
        <w:rPr>
          <w:rFonts w:ascii="Times New Roman" w:eastAsia="Times New Roman" w:hAnsi="Times New Roman" w:cs="Times New Roman"/>
          <w:color w:val="000000" w:themeColor="text1"/>
        </w:rPr>
        <w:t xml:space="preserve"> У таких умовах традиційні методи пожежогасіння часто виявляються недостатньо ефективними, що зумовлює потребу у використанні засобів об’ємного гасіння — газових, порошкових та аерозольних систем.</w:t>
      </w:r>
      <w:r w:rsidR="4D2E5F46" w:rsidRPr="00C72952">
        <w:rPr>
          <w:rFonts w:ascii="Times New Roman" w:eastAsia="Times New Roman" w:hAnsi="Times New Roman" w:cs="Times New Roman"/>
          <w:color w:val="000000" w:themeColor="text1"/>
        </w:rPr>
        <w:t>[2]</w:t>
      </w:r>
      <w:r w:rsidRPr="00C72952">
        <w:rPr>
          <w:rFonts w:ascii="Times New Roman" w:eastAsia="Times New Roman" w:hAnsi="Times New Roman" w:cs="Times New Roman"/>
          <w:color w:val="000000" w:themeColor="text1"/>
        </w:rPr>
        <w:t xml:space="preserve"> Однак, відсутність уніфікованих </w:t>
      </w:r>
      <w:r w:rsidRPr="00C72952">
        <w:rPr>
          <w:rFonts w:ascii="Times New Roman" w:eastAsia="Times New Roman" w:hAnsi="Times New Roman" w:cs="Times New Roman"/>
          <w:color w:val="000000" w:themeColor="text1"/>
        </w:rPr>
        <w:lastRenderedPageBreak/>
        <w:t>методик оцінювання їх ефективності, недосконалість нормативно-технічної бази та брак випробувальних дослідних установ створюють низку проблем при сертифікації та практичному застосуванні цих систем. Таким чином, дослідження нормативних документів, визначення недоліків чинної випробувальної бази та розроблення пропозицій щодо удосконалення методик випробування засобів об’ємного пожежогасіння є важливим завданням сучасної пожежної науки.</w:t>
      </w:r>
      <w:r w:rsidR="5F1360BD" w:rsidRPr="00C72952">
        <w:rPr>
          <w:rFonts w:ascii="Times New Roman" w:eastAsia="Times New Roman" w:hAnsi="Times New Roman" w:cs="Times New Roman"/>
          <w:color w:val="000000" w:themeColor="text1"/>
        </w:rPr>
        <w:t>[</w:t>
      </w:r>
      <w:r w:rsidR="0E4D94DD" w:rsidRPr="00C72952">
        <w:rPr>
          <w:rFonts w:ascii="Times New Roman" w:eastAsia="Times New Roman" w:hAnsi="Times New Roman" w:cs="Times New Roman"/>
          <w:color w:val="000000" w:themeColor="text1"/>
        </w:rPr>
        <w:t>3</w:t>
      </w:r>
      <w:r w:rsidR="5F1360BD" w:rsidRPr="00C72952">
        <w:rPr>
          <w:rFonts w:ascii="Times New Roman" w:eastAsia="Times New Roman" w:hAnsi="Times New Roman" w:cs="Times New Roman"/>
          <w:color w:val="000000" w:themeColor="text1"/>
        </w:rPr>
        <w:t>]</w:t>
      </w:r>
    </w:p>
    <w:p w14:paraId="578D92FC" w14:textId="44E67398" w:rsidR="3430C036" w:rsidRPr="00C72952" w:rsidRDefault="3430C036" w:rsidP="3430C036">
      <w:pPr>
        <w:spacing w:line="360" w:lineRule="auto"/>
        <w:ind w:firstLine="567"/>
        <w:jc w:val="both"/>
        <w:rPr>
          <w:rFonts w:ascii="Times New Roman" w:eastAsia="Times New Roman" w:hAnsi="Times New Roman" w:cs="Times New Roman"/>
          <w:b/>
          <w:bCs/>
        </w:rPr>
      </w:pPr>
    </w:p>
    <w:p w14:paraId="3017B892" w14:textId="77777777" w:rsidR="00114B5C" w:rsidRPr="00C72952" w:rsidRDefault="3430C036" w:rsidP="3430C036">
      <w:pPr>
        <w:spacing w:line="360" w:lineRule="auto"/>
        <w:ind w:firstLine="567"/>
        <w:jc w:val="both"/>
        <w:rPr>
          <w:rFonts w:ascii="Times New Roman" w:eastAsia="Times New Roman" w:hAnsi="Times New Roman" w:cs="Times New Roman"/>
          <w:b/>
          <w:bCs/>
        </w:rPr>
      </w:pPr>
      <w:r w:rsidRPr="00C72952">
        <w:rPr>
          <w:rFonts w:ascii="Times New Roman" w:eastAsia="Times New Roman" w:hAnsi="Times New Roman" w:cs="Times New Roman"/>
          <w:b/>
          <w:bCs/>
        </w:rPr>
        <w:t>Постановка проблеми</w:t>
      </w:r>
    </w:p>
    <w:p w14:paraId="6BD11F84" w14:textId="466B7F98" w:rsidR="00114B5C" w:rsidRPr="00C72952" w:rsidRDefault="3430C036" w:rsidP="3430C036">
      <w:pPr>
        <w:spacing w:after="0" w:line="360" w:lineRule="auto"/>
        <w:ind w:firstLine="567"/>
        <w:contextualSpacing/>
        <w:jc w:val="both"/>
        <w:rPr>
          <w:rFonts w:ascii="Times New Roman" w:eastAsia="Times New Roman" w:hAnsi="Times New Roman" w:cs="Times New Roman"/>
        </w:rPr>
      </w:pPr>
      <w:r w:rsidRPr="00C72952">
        <w:rPr>
          <w:rFonts w:ascii="Times New Roman" w:eastAsia="Times New Roman" w:hAnsi="Times New Roman" w:cs="Times New Roman"/>
        </w:rPr>
        <w:t>Пожежі бувають різних форм, площ, у замкнених приміщеннях та з різними типами горючих матеріалів (тверді, рідкі, гази та метали), характером поширення (зовнішні, внутрішні, приховані). Відомо, що на пожежах відомі випадки поновлення горіння через продовження горіння прихованої пожежі або пожежа виникла там, де неможливо одразу візуально їх розпізнати, через це було створено засоби обʼємного гасіння або пожежі у складних місцях, таких як: тунель, шахтах, літій-іонних акамуляторів,</w:t>
      </w:r>
      <w:r w:rsidR="6AF04D1C" w:rsidRPr="00C72952">
        <w:rPr>
          <w:rFonts w:ascii="Times New Roman" w:eastAsia="Times New Roman" w:hAnsi="Times New Roman" w:cs="Times New Roman"/>
        </w:rPr>
        <w:t>[</w:t>
      </w:r>
      <w:r w:rsidR="56B44835" w:rsidRPr="00C72952">
        <w:rPr>
          <w:rFonts w:ascii="Times New Roman" w:eastAsia="Times New Roman" w:hAnsi="Times New Roman" w:cs="Times New Roman"/>
        </w:rPr>
        <w:t>2</w:t>
      </w:r>
      <w:r w:rsidR="6AF04D1C" w:rsidRPr="00C72952">
        <w:rPr>
          <w:rFonts w:ascii="Times New Roman" w:eastAsia="Times New Roman" w:hAnsi="Times New Roman" w:cs="Times New Roman"/>
        </w:rPr>
        <w:t>]</w:t>
      </w:r>
      <w:r w:rsidRPr="00C72952">
        <w:rPr>
          <w:rFonts w:ascii="Times New Roman" w:eastAsia="Times New Roman" w:hAnsi="Times New Roman" w:cs="Times New Roman"/>
        </w:rPr>
        <w:t xml:space="preserve"> Таким чином придушення прихованих пожеж є необхідним для запобігання повторного займання. При гасінні об’ємних пожеж може бути багато особливостей які полягають у конструктивних особливостях  об’ємів приміщень, обладнання та багато інших.  </w:t>
      </w:r>
      <w:proofErr w:type="spellStart"/>
      <w:r w:rsidRPr="00C72952">
        <w:rPr>
          <w:rFonts w:ascii="Times New Roman" w:eastAsia="Times New Roman" w:hAnsi="Times New Roman" w:cs="Times New Roman"/>
          <w:color w:val="000000"/>
          <w:lang w:val="ru-RU" w:eastAsia="zh-CN" w:bidi="ar"/>
        </w:rPr>
        <w:t>Наприклад</w:t>
      </w:r>
      <w:proofErr w:type="spellEnd"/>
      <w:r w:rsidRPr="00C72952">
        <w:rPr>
          <w:rFonts w:ascii="Times New Roman" w:eastAsia="Times New Roman" w:hAnsi="Times New Roman" w:cs="Times New Roman"/>
          <w:color w:val="000000"/>
          <w:lang w:val="ru-RU" w:eastAsia="zh-CN" w:bidi="ar"/>
        </w:rPr>
        <w:t xml:space="preserve">, </w:t>
      </w:r>
      <w:proofErr w:type="spellStart"/>
      <w:proofErr w:type="gramStart"/>
      <w:r w:rsidRPr="00C72952">
        <w:rPr>
          <w:rFonts w:ascii="Times New Roman" w:eastAsia="Times New Roman" w:hAnsi="Times New Roman" w:cs="Times New Roman"/>
          <w:color w:val="000000"/>
          <w:lang w:val="ru-RU" w:eastAsia="zh-CN" w:bidi="ar"/>
        </w:rPr>
        <w:t>п</w:t>
      </w:r>
      <w:proofErr w:type="gramEnd"/>
      <w:r w:rsidRPr="00C72952">
        <w:rPr>
          <w:rFonts w:ascii="Times New Roman" w:eastAsia="Times New Roman" w:hAnsi="Times New Roman" w:cs="Times New Roman"/>
          <w:color w:val="000000"/>
          <w:lang w:val="ru-RU" w:eastAsia="zh-CN" w:bidi="ar"/>
        </w:rPr>
        <w:t>ід</w:t>
      </w:r>
      <w:proofErr w:type="spellEnd"/>
      <w:r w:rsidRPr="00C72952">
        <w:rPr>
          <w:rFonts w:ascii="Times New Roman" w:eastAsia="Times New Roman" w:hAnsi="Times New Roman" w:cs="Times New Roman"/>
          <w:color w:val="000000"/>
          <w:lang w:val="ru-RU" w:eastAsia="zh-CN" w:bidi="ar"/>
        </w:rPr>
        <w:t xml:space="preserve"> час </w:t>
      </w:r>
      <w:proofErr w:type="spellStart"/>
      <w:r w:rsidRPr="00C72952">
        <w:rPr>
          <w:rFonts w:ascii="Times New Roman" w:eastAsia="Times New Roman" w:hAnsi="Times New Roman" w:cs="Times New Roman"/>
          <w:color w:val="000000"/>
          <w:lang w:val="ru-RU" w:eastAsia="zh-CN" w:bidi="ar"/>
        </w:rPr>
        <w:t>гасіння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пожеж</w:t>
      </w:r>
      <w:proofErr w:type="spellEnd"/>
      <w:r w:rsidRPr="00C72952">
        <w:rPr>
          <w:rFonts w:ascii="Times New Roman" w:eastAsia="Times New Roman" w:hAnsi="Times New Roman" w:cs="Times New Roman"/>
          <w:color w:val="000000"/>
          <w:lang w:val="ru-RU" w:eastAsia="zh-CN" w:bidi="ar"/>
        </w:rPr>
        <w:t xml:space="preserve"> у </w:t>
      </w:r>
      <w:proofErr w:type="spellStart"/>
      <w:r w:rsidRPr="00C72952">
        <w:rPr>
          <w:rFonts w:ascii="Times New Roman" w:eastAsia="Times New Roman" w:hAnsi="Times New Roman" w:cs="Times New Roman"/>
          <w:color w:val="000000"/>
          <w:lang w:val="ru-RU" w:eastAsia="zh-CN" w:bidi="ar"/>
        </w:rPr>
        <w:t>замкнених</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приміщеннях</w:t>
      </w:r>
      <w:proofErr w:type="spellEnd"/>
      <w:r w:rsidRPr="00C72952">
        <w:rPr>
          <w:rFonts w:ascii="Times New Roman" w:eastAsia="Times New Roman" w:hAnsi="Times New Roman" w:cs="Times New Roman"/>
          <w:color w:val="000000"/>
          <w:lang w:val="ru-RU" w:eastAsia="zh-CN" w:bidi="ar"/>
        </w:rPr>
        <w:t xml:space="preserve"> фронт </w:t>
      </w:r>
      <w:proofErr w:type="spellStart"/>
      <w:r w:rsidRPr="00C72952">
        <w:rPr>
          <w:rFonts w:ascii="Times New Roman" w:eastAsia="Times New Roman" w:hAnsi="Times New Roman" w:cs="Times New Roman"/>
          <w:color w:val="000000"/>
          <w:lang w:val="ru-RU" w:eastAsia="zh-CN" w:bidi="ar"/>
        </w:rPr>
        <w:t>полум’я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може</w:t>
      </w:r>
      <w:proofErr w:type="spellEnd"/>
      <w:r w:rsidRPr="00C72952">
        <w:rPr>
          <w:rFonts w:ascii="Times New Roman" w:eastAsia="Times New Roman" w:hAnsi="Times New Roman" w:cs="Times New Roman"/>
          <w:color w:val="000000"/>
          <w:lang w:val="ru-RU" w:eastAsia="zh-CN" w:bidi="ar"/>
        </w:rPr>
        <w:t xml:space="preserve"> бути </w:t>
      </w:r>
      <w:proofErr w:type="spellStart"/>
      <w:r w:rsidRPr="00C72952">
        <w:rPr>
          <w:rFonts w:ascii="Times New Roman" w:eastAsia="Times New Roman" w:hAnsi="Times New Roman" w:cs="Times New Roman"/>
          <w:color w:val="000000"/>
          <w:lang w:val="ru-RU" w:eastAsia="zh-CN" w:bidi="ar"/>
        </w:rPr>
        <w:t>розділений</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будівельними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конструкціями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або</w:t>
      </w:r>
      <w:proofErr w:type="spellEnd"/>
      <w:r w:rsidRPr="00C72952">
        <w:rPr>
          <w:rFonts w:ascii="Times New Roman" w:eastAsia="Times New Roman" w:hAnsi="Times New Roman" w:cs="Times New Roman"/>
          <w:color w:val="000000"/>
          <w:lang w:val="ru-RU" w:eastAsia="zh-CN" w:bidi="ar"/>
        </w:rPr>
        <w:t xml:space="preserve"> перегородками, за </w:t>
      </w:r>
      <w:proofErr w:type="spellStart"/>
      <w:r w:rsidRPr="00C72952">
        <w:rPr>
          <w:rFonts w:ascii="Times New Roman" w:eastAsia="Times New Roman" w:hAnsi="Times New Roman" w:cs="Times New Roman"/>
          <w:color w:val="000000"/>
          <w:lang w:val="ru-RU" w:eastAsia="zh-CN" w:bidi="ar"/>
        </w:rPr>
        <w:t>якими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процес</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горіння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триває</w:t>
      </w:r>
      <w:proofErr w:type="spellEnd"/>
      <w:r w:rsidRPr="00C72952">
        <w:rPr>
          <w:rFonts w:ascii="Times New Roman" w:eastAsia="Times New Roman" w:hAnsi="Times New Roman" w:cs="Times New Roman"/>
          <w:color w:val="000000"/>
          <w:lang w:val="ru-RU" w:eastAsia="zh-CN" w:bidi="ar"/>
        </w:rPr>
        <w:t xml:space="preserve">. У таких </w:t>
      </w:r>
      <w:proofErr w:type="spellStart"/>
      <w:r w:rsidRPr="00C72952">
        <w:rPr>
          <w:rFonts w:ascii="Times New Roman" w:eastAsia="Times New Roman" w:hAnsi="Times New Roman" w:cs="Times New Roman"/>
          <w:color w:val="000000"/>
          <w:lang w:val="ru-RU" w:eastAsia="zh-CN" w:bidi="ar"/>
        </w:rPr>
        <w:t>випадках</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об’ємні</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засоби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пожежогасіння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можуть</w:t>
      </w:r>
      <w:proofErr w:type="spellEnd"/>
      <w:r w:rsidRPr="00C72952">
        <w:rPr>
          <w:rFonts w:ascii="Times New Roman" w:eastAsia="Times New Roman" w:hAnsi="Times New Roman" w:cs="Times New Roman"/>
          <w:color w:val="000000"/>
          <w:lang w:val="ru-RU" w:eastAsia="zh-CN" w:bidi="ar"/>
        </w:rPr>
        <w:t xml:space="preserve"> не </w:t>
      </w:r>
      <w:proofErr w:type="spellStart"/>
      <w:r w:rsidRPr="00C72952">
        <w:rPr>
          <w:rFonts w:ascii="Times New Roman" w:eastAsia="Times New Roman" w:hAnsi="Times New Roman" w:cs="Times New Roman"/>
          <w:color w:val="000000"/>
          <w:lang w:val="ru-RU" w:eastAsia="zh-CN" w:bidi="ar"/>
        </w:rPr>
        <w:t>забезпечити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формування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необхідної</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вогнегасної</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концентрації</w:t>
      </w:r>
      <w:proofErr w:type="spellEnd"/>
      <w:r w:rsidRPr="00C72952">
        <w:rPr>
          <w:rFonts w:ascii="Times New Roman" w:eastAsia="Times New Roman" w:hAnsi="Times New Roman" w:cs="Times New Roman"/>
          <w:color w:val="000000"/>
          <w:lang w:val="ru-RU" w:eastAsia="zh-CN" w:bidi="ar"/>
        </w:rPr>
        <w:t xml:space="preserve"> в </w:t>
      </w:r>
      <w:proofErr w:type="spellStart"/>
      <w:r w:rsidRPr="00C72952">
        <w:rPr>
          <w:rFonts w:ascii="Times New Roman" w:eastAsia="Times New Roman" w:hAnsi="Times New Roman" w:cs="Times New Roman"/>
          <w:color w:val="000000"/>
          <w:lang w:val="ru-RU" w:eastAsia="zh-CN" w:bidi="ar"/>
        </w:rPr>
        <w:t>осередку</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горіння</w:t>
      </w:r>
      <w:proofErr w:type="spellEnd"/>
      <w:r w:rsidRPr="00C72952">
        <w:rPr>
          <w:rFonts w:ascii="Times New Roman" w:eastAsia="Times New Roman" w:hAnsi="Times New Roman" w:cs="Times New Roman"/>
          <w:color w:val="000000"/>
          <w:lang w:val="ru-RU" w:eastAsia="zh-CN" w:bidi="ar"/>
        </w:rPr>
        <w:t xml:space="preserve"> через </w:t>
      </w:r>
      <w:proofErr w:type="spellStart"/>
      <w:r w:rsidRPr="00C72952">
        <w:rPr>
          <w:rFonts w:ascii="Times New Roman" w:eastAsia="Times New Roman" w:hAnsi="Times New Roman" w:cs="Times New Roman"/>
          <w:color w:val="000000"/>
          <w:lang w:val="ru-RU" w:eastAsia="zh-CN" w:bidi="ar"/>
        </w:rPr>
        <w:t>обмежене</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проникнення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вогнегасної</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речовини</w:t>
      </w:r>
      <w:proofErr w:type="spellEnd"/>
      <w:r w:rsidRPr="00C72952">
        <w:rPr>
          <w:rFonts w:ascii="Times New Roman" w:eastAsia="Times New Roman" w:hAnsi="Times New Roman" w:cs="Times New Roman"/>
          <w:color w:val="000000"/>
          <w:lang w:val="ru-RU" w:eastAsia="zh-CN" w:bidi="ar"/>
        </w:rPr>
        <w:t xml:space="preserve"> за </w:t>
      </w:r>
      <w:proofErr w:type="spellStart"/>
      <w:r w:rsidRPr="00C72952">
        <w:rPr>
          <w:rFonts w:ascii="Times New Roman" w:eastAsia="Times New Roman" w:hAnsi="Times New Roman" w:cs="Times New Roman"/>
          <w:color w:val="000000"/>
          <w:lang w:val="ru-RU" w:eastAsia="zh-CN" w:bidi="ar"/>
        </w:rPr>
        <w:t>межі</w:t>
      </w:r>
      <w:proofErr w:type="spellEnd"/>
      <w:r w:rsidRPr="00C72952">
        <w:rPr>
          <w:rFonts w:ascii="Times New Roman" w:eastAsia="Times New Roman" w:hAnsi="Times New Roman" w:cs="Times New Roman"/>
          <w:color w:val="000000"/>
          <w:lang w:val="ru-RU" w:eastAsia="zh-CN" w:bidi="ar"/>
        </w:rPr>
        <w:t xml:space="preserve"> основного </w:t>
      </w:r>
      <w:proofErr w:type="spellStart"/>
      <w:r w:rsidRPr="00C72952">
        <w:rPr>
          <w:rFonts w:ascii="Times New Roman" w:eastAsia="Times New Roman" w:hAnsi="Times New Roman" w:cs="Times New Roman"/>
          <w:color w:val="000000"/>
          <w:lang w:val="ru-RU" w:eastAsia="zh-CN" w:bidi="ar"/>
        </w:rPr>
        <w:t>об’єму</w:t>
      </w:r>
      <w:proofErr w:type="spellEnd"/>
      <w:r w:rsidRPr="00C72952">
        <w:rPr>
          <w:rFonts w:ascii="Times New Roman" w:eastAsia="Times New Roman" w:hAnsi="Times New Roman" w:cs="Times New Roman"/>
          <w:color w:val="000000"/>
          <w:lang w:val="ru-RU" w:eastAsia="zh-CN" w:bidi="ar"/>
        </w:rPr>
        <w:t>.</w:t>
      </w:r>
      <w:r w:rsidR="4622684E" w:rsidRPr="00C72952">
        <w:rPr>
          <w:rFonts w:ascii="Times New Roman" w:eastAsia="Times New Roman" w:hAnsi="Times New Roman" w:cs="Times New Roman"/>
          <w:color w:val="000000"/>
          <w:lang w:val="ru-RU" w:eastAsia="zh-CN" w:bidi="ar"/>
        </w:rPr>
        <w:t>[</w:t>
      </w:r>
      <w:proofErr w:type="gramStart"/>
      <w:r w:rsidR="4622684E" w:rsidRPr="00C72952">
        <w:rPr>
          <w:rFonts w:ascii="Times New Roman" w:eastAsia="Times New Roman" w:hAnsi="Times New Roman" w:cs="Times New Roman"/>
          <w:color w:val="000000"/>
          <w:lang w:val="ru-RU" w:eastAsia="zh-CN" w:bidi="ar"/>
        </w:rPr>
        <w:t>3]</w:t>
      </w:r>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Отже</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подавання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вогнегасного</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середовища</w:t>
      </w:r>
      <w:proofErr w:type="spellEnd"/>
      <w:r w:rsidRPr="00C72952">
        <w:rPr>
          <w:rFonts w:ascii="Times New Roman" w:eastAsia="Times New Roman" w:hAnsi="Times New Roman" w:cs="Times New Roman"/>
          <w:color w:val="000000"/>
          <w:lang w:val="ru-RU" w:eastAsia="zh-CN" w:bidi="ar"/>
        </w:rPr>
        <w:t xml:space="preserve"> в </w:t>
      </w:r>
      <w:proofErr w:type="spellStart"/>
      <w:r w:rsidRPr="00C72952">
        <w:rPr>
          <w:rFonts w:ascii="Times New Roman" w:eastAsia="Times New Roman" w:hAnsi="Times New Roman" w:cs="Times New Roman"/>
          <w:color w:val="000000"/>
          <w:lang w:val="ru-RU" w:eastAsia="zh-CN" w:bidi="ar"/>
        </w:rPr>
        <w:t>об’єм</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приміщення</w:t>
      </w:r>
      <w:proofErr w:type="spellEnd"/>
      <w:r w:rsidRPr="00C72952">
        <w:rPr>
          <w:rFonts w:ascii="Times New Roman" w:eastAsia="Times New Roman" w:hAnsi="Times New Roman" w:cs="Times New Roman"/>
          <w:color w:val="000000"/>
          <w:lang w:val="ru-RU" w:eastAsia="zh-CN" w:bidi="ar"/>
        </w:rPr>
        <w:t xml:space="preserve"> не </w:t>
      </w:r>
      <w:proofErr w:type="spellStart"/>
      <w:r w:rsidRPr="00C72952">
        <w:rPr>
          <w:rFonts w:ascii="Times New Roman" w:eastAsia="Times New Roman" w:hAnsi="Times New Roman" w:cs="Times New Roman"/>
          <w:color w:val="000000"/>
          <w:lang w:val="ru-RU" w:eastAsia="zh-CN" w:bidi="ar"/>
        </w:rPr>
        <w:t>завжди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гарантує</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повне</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припинення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процесу</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горіння</w:t>
      </w:r>
      <w:proofErr w:type="spellEnd"/>
      <w:r w:rsidRPr="00C72952">
        <w:rPr>
          <w:rFonts w:ascii="Times New Roman" w:eastAsia="Times New Roman" w:hAnsi="Times New Roman" w:cs="Times New Roman"/>
          <w:color w:val="000000"/>
          <w:lang w:val="ru-RU" w:eastAsia="zh-CN" w:bidi="ar"/>
        </w:rPr>
        <w:t>.</w:t>
      </w:r>
      <w:proofErr w:type="gram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Полум’я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може</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продовжувати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існувати</w:t>
      </w:r>
      <w:proofErr w:type="spellEnd"/>
      <w:r w:rsidRPr="00C72952">
        <w:rPr>
          <w:rFonts w:ascii="Times New Roman" w:eastAsia="Times New Roman" w:hAnsi="Times New Roman" w:cs="Times New Roman"/>
          <w:color w:val="000000"/>
          <w:lang w:val="ru-RU" w:eastAsia="zh-CN" w:bidi="ar"/>
        </w:rPr>
        <w:t xml:space="preserve"> у </w:t>
      </w:r>
      <w:proofErr w:type="spellStart"/>
      <w:r w:rsidRPr="00C72952">
        <w:rPr>
          <w:rFonts w:ascii="Times New Roman" w:eastAsia="Times New Roman" w:hAnsi="Times New Roman" w:cs="Times New Roman"/>
          <w:color w:val="000000"/>
          <w:lang w:val="ru-RU" w:eastAsia="zh-CN" w:bidi="ar"/>
        </w:rPr>
        <w:t>прихованих</w:t>
      </w:r>
      <w:proofErr w:type="spellEnd"/>
      <w:r w:rsidRPr="00C72952">
        <w:rPr>
          <w:rFonts w:ascii="Times New Roman" w:eastAsia="Times New Roman" w:hAnsi="Times New Roman" w:cs="Times New Roman"/>
          <w:color w:val="000000"/>
          <w:lang w:val="ru-RU" w:eastAsia="zh-CN" w:bidi="ar"/>
        </w:rPr>
        <w:t xml:space="preserve"> зонах, </w:t>
      </w:r>
      <w:proofErr w:type="spellStart"/>
      <w:r w:rsidRPr="00C72952">
        <w:rPr>
          <w:rFonts w:ascii="Times New Roman" w:eastAsia="Times New Roman" w:hAnsi="Times New Roman" w:cs="Times New Roman"/>
          <w:color w:val="000000"/>
          <w:lang w:val="ru-RU" w:eastAsia="zh-CN" w:bidi="ar"/>
        </w:rPr>
        <w:t>хоча</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його</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візуальні</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ознаки</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відсутні</w:t>
      </w:r>
      <w:proofErr w:type="spellEnd"/>
      <w:r w:rsidRPr="00C72952">
        <w:rPr>
          <w:rFonts w:ascii="Times New Roman" w:eastAsia="Times New Roman" w:hAnsi="Times New Roman" w:cs="Times New Roman"/>
          <w:color w:val="000000"/>
          <w:lang w:val="ru-RU" w:eastAsia="zh-CN" w:bidi="ar"/>
        </w:rPr>
        <w:t xml:space="preserve">. </w:t>
      </w:r>
      <w:proofErr w:type="gramStart"/>
      <w:r w:rsidRPr="00C72952">
        <w:rPr>
          <w:rFonts w:ascii="Times New Roman" w:eastAsia="Times New Roman" w:hAnsi="Times New Roman" w:cs="Times New Roman"/>
          <w:color w:val="000000"/>
          <w:lang w:val="ru-RU" w:eastAsia="zh-CN" w:bidi="ar"/>
        </w:rPr>
        <w:t>З</w:t>
      </w:r>
      <w:proofErr w:type="gram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огляду</w:t>
      </w:r>
      <w:proofErr w:type="spellEnd"/>
      <w:r w:rsidRPr="00C72952">
        <w:rPr>
          <w:rFonts w:ascii="Times New Roman" w:eastAsia="Times New Roman" w:hAnsi="Times New Roman" w:cs="Times New Roman"/>
          <w:color w:val="000000"/>
          <w:lang w:val="ru-RU" w:eastAsia="zh-CN" w:bidi="ar"/>
        </w:rPr>
        <w:t xml:space="preserve"> на </w:t>
      </w:r>
      <w:proofErr w:type="spellStart"/>
      <w:r w:rsidRPr="00C72952">
        <w:rPr>
          <w:rFonts w:ascii="Times New Roman" w:eastAsia="Times New Roman" w:hAnsi="Times New Roman" w:cs="Times New Roman"/>
          <w:color w:val="000000"/>
          <w:lang w:val="ru-RU" w:eastAsia="zh-CN" w:bidi="ar"/>
        </w:rPr>
        <w:t>це</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актуальним</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науково-практичним</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завданням</w:t>
      </w:r>
      <w:proofErr w:type="spellEnd"/>
      <w:r w:rsidRPr="00C72952">
        <w:rPr>
          <w:rFonts w:ascii="Times New Roman" w:eastAsia="Times New Roman" w:hAnsi="Times New Roman" w:cs="Times New Roman"/>
          <w:color w:val="000000"/>
          <w:lang w:val="ru-RU" w:eastAsia="zh-CN" w:bidi="ar"/>
        </w:rPr>
        <w:t xml:space="preserve"> є </w:t>
      </w:r>
      <w:proofErr w:type="spellStart"/>
      <w:r w:rsidRPr="00C72952">
        <w:rPr>
          <w:rFonts w:ascii="Times New Roman" w:eastAsia="Times New Roman" w:hAnsi="Times New Roman" w:cs="Times New Roman"/>
          <w:color w:val="000000"/>
          <w:lang w:val="ru-RU" w:eastAsia="zh-CN" w:bidi="ar"/>
        </w:rPr>
        <w:t>створення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випробувально-дослідної</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бази</w:t>
      </w:r>
      <w:proofErr w:type="spellEnd"/>
      <w:r w:rsidRPr="00C72952">
        <w:rPr>
          <w:rFonts w:ascii="Times New Roman" w:eastAsia="Times New Roman" w:hAnsi="Times New Roman" w:cs="Times New Roman"/>
          <w:color w:val="000000"/>
          <w:lang w:val="ru-RU" w:eastAsia="zh-CN" w:bidi="ar"/>
        </w:rPr>
        <w:t xml:space="preserve"> для </w:t>
      </w:r>
      <w:proofErr w:type="spellStart"/>
      <w:r w:rsidRPr="00C72952">
        <w:rPr>
          <w:rFonts w:ascii="Times New Roman" w:eastAsia="Times New Roman" w:hAnsi="Times New Roman" w:cs="Times New Roman"/>
          <w:color w:val="000000"/>
          <w:lang w:val="ru-RU" w:eastAsia="zh-CN" w:bidi="ar"/>
        </w:rPr>
        <w:t>оцінювання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ефективності</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засобів</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об’ємного</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пожежогасіння</w:t>
      </w:r>
      <w:proofErr w:type="spellEnd"/>
      <w:r w:rsidRPr="00C72952">
        <w:rPr>
          <w:rFonts w:ascii="Times New Roman" w:eastAsia="Times New Roman" w:hAnsi="Times New Roman" w:cs="Times New Roman"/>
          <w:color w:val="000000"/>
          <w:lang w:val="ru-RU" w:eastAsia="zh-CN" w:bidi="ar"/>
        </w:rPr>
        <w:t xml:space="preserve"> та </w:t>
      </w:r>
      <w:proofErr w:type="spellStart"/>
      <w:r w:rsidRPr="00C72952">
        <w:rPr>
          <w:rFonts w:ascii="Times New Roman" w:eastAsia="Times New Roman" w:hAnsi="Times New Roman" w:cs="Times New Roman"/>
          <w:color w:val="000000"/>
          <w:lang w:val="ru-RU" w:eastAsia="zh-CN" w:bidi="ar"/>
        </w:rPr>
        <w:t>підтвердження</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їх</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придатності</w:t>
      </w:r>
      <w:proofErr w:type="spellEnd"/>
      <w:r w:rsidRPr="00C72952">
        <w:rPr>
          <w:rFonts w:ascii="Times New Roman" w:eastAsia="Times New Roman" w:hAnsi="Times New Roman" w:cs="Times New Roman"/>
          <w:color w:val="000000"/>
          <w:lang w:val="ru-RU" w:eastAsia="zh-CN" w:bidi="ar"/>
        </w:rPr>
        <w:t xml:space="preserve"> до </w:t>
      </w:r>
      <w:proofErr w:type="spellStart"/>
      <w:r w:rsidRPr="00C72952">
        <w:rPr>
          <w:rFonts w:ascii="Times New Roman" w:eastAsia="Times New Roman" w:hAnsi="Times New Roman" w:cs="Times New Roman"/>
          <w:color w:val="000000"/>
          <w:lang w:val="ru-RU" w:eastAsia="zh-CN" w:bidi="ar"/>
        </w:rPr>
        <w:t>застосування</w:t>
      </w:r>
      <w:proofErr w:type="spellEnd"/>
      <w:r w:rsidRPr="00C72952">
        <w:rPr>
          <w:rFonts w:ascii="Times New Roman" w:eastAsia="Times New Roman" w:hAnsi="Times New Roman" w:cs="Times New Roman"/>
          <w:color w:val="000000"/>
          <w:lang w:val="ru-RU" w:eastAsia="zh-CN" w:bidi="ar"/>
        </w:rPr>
        <w:t xml:space="preserve"> в </w:t>
      </w:r>
      <w:proofErr w:type="spellStart"/>
      <w:r w:rsidRPr="00C72952">
        <w:rPr>
          <w:rFonts w:ascii="Times New Roman" w:eastAsia="Times New Roman" w:hAnsi="Times New Roman" w:cs="Times New Roman"/>
          <w:color w:val="000000"/>
          <w:lang w:val="ru-RU" w:eastAsia="zh-CN" w:bidi="ar"/>
        </w:rPr>
        <w:t>різних</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просторових</w:t>
      </w:r>
      <w:proofErr w:type="spellEnd"/>
      <w:r w:rsidRPr="00C72952">
        <w:rPr>
          <w:rFonts w:ascii="Times New Roman" w:eastAsia="Times New Roman" w:hAnsi="Times New Roman" w:cs="Times New Roman"/>
          <w:color w:val="000000"/>
          <w:lang w:val="ru-RU" w:eastAsia="zh-CN" w:bidi="ar"/>
        </w:rPr>
        <w:t xml:space="preserve"> </w:t>
      </w:r>
      <w:proofErr w:type="spellStart"/>
      <w:r w:rsidRPr="00C72952">
        <w:rPr>
          <w:rFonts w:ascii="Times New Roman" w:eastAsia="Times New Roman" w:hAnsi="Times New Roman" w:cs="Times New Roman"/>
          <w:color w:val="000000"/>
          <w:lang w:val="ru-RU" w:eastAsia="zh-CN" w:bidi="ar"/>
        </w:rPr>
        <w:t>умовах</w:t>
      </w:r>
      <w:proofErr w:type="spellEnd"/>
      <w:r w:rsidRPr="00C72952">
        <w:rPr>
          <w:rFonts w:ascii="Times New Roman" w:eastAsia="Times New Roman" w:hAnsi="Times New Roman" w:cs="Times New Roman"/>
          <w:color w:val="000000"/>
          <w:lang w:val="ru-RU" w:eastAsia="zh-CN" w:bidi="ar"/>
        </w:rPr>
        <w:t>.</w:t>
      </w:r>
    </w:p>
    <w:p w14:paraId="508EFA79" w14:textId="77777777" w:rsidR="00114B5C" w:rsidRPr="00C72952" w:rsidRDefault="3430C036" w:rsidP="3430C036">
      <w:pPr>
        <w:spacing w:after="0" w:line="360" w:lineRule="auto"/>
        <w:ind w:firstLine="567"/>
        <w:jc w:val="both"/>
        <w:rPr>
          <w:rFonts w:ascii="Times New Roman" w:eastAsia="Times New Roman" w:hAnsi="Times New Roman" w:cs="Times New Roman"/>
          <w:b/>
          <w:bCs/>
        </w:rPr>
      </w:pPr>
      <w:r w:rsidRPr="00C72952">
        <w:rPr>
          <w:rFonts w:ascii="Times New Roman" w:eastAsia="Times New Roman" w:hAnsi="Times New Roman" w:cs="Times New Roman"/>
          <w:b/>
          <w:bCs/>
        </w:rPr>
        <w:t xml:space="preserve">Виклади основного матеріалу </w:t>
      </w:r>
    </w:p>
    <w:p w14:paraId="1DA4C0AD" w14:textId="77777777" w:rsidR="00114B5C" w:rsidRPr="00C72952" w:rsidRDefault="3430C036" w:rsidP="3430C036">
      <w:pPr>
        <w:pStyle w:val="a8"/>
        <w:spacing w:after="0" w:line="360" w:lineRule="auto"/>
        <w:ind w:left="0" w:firstLine="567"/>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iCs/>
          <w:color w:val="000000" w:themeColor="text1"/>
        </w:rPr>
        <w:t>Огляд нормативних документів наукової літератури у галузі визначення вогнегасних та флегматизувальних властивостей дисперсних вогнегасних речовин.</w:t>
      </w:r>
    </w:p>
    <w:p w14:paraId="6822E92E" w14:textId="21BF694D" w:rsidR="00114B5C" w:rsidRPr="00C72952" w:rsidRDefault="3430C036">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Універсальних вогнегасних засобів не існує. Тому для припинення процесу горіння однієї і тієї ж речовини у ряді випадків використовують різні вогнегасні </w:t>
      </w:r>
      <w:r w:rsidRPr="00C72952">
        <w:rPr>
          <w:rFonts w:ascii="Times New Roman" w:eastAsia="Times New Roman" w:hAnsi="Times New Roman" w:cs="Times New Roman"/>
          <w:color w:val="000000" w:themeColor="text1"/>
        </w:rPr>
        <w:lastRenderedPageBreak/>
        <w:t>засоби.</w:t>
      </w:r>
      <w:r w:rsidR="0BB29809" w:rsidRPr="00C72952">
        <w:rPr>
          <w:rFonts w:ascii="Times New Roman" w:eastAsia="Times New Roman" w:hAnsi="Times New Roman" w:cs="Times New Roman"/>
          <w:color w:val="000000" w:themeColor="text1"/>
        </w:rPr>
        <w:t>[3]</w:t>
      </w:r>
      <w:r w:rsidRPr="00C72952">
        <w:rPr>
          <w:rFonts w:ascii="Times New Roman" w:eastAsia="Times New Roman" w:hAnsi="Times New Roman" w:cs="Times New Roman"/>
          <w:color w:val="000000" w:themeColor="text1"/>
        </w:rPr>
        <w:t xml:space="preserve"> У сучасній практиці пожежного захисту все більше уваги приділяється системам, що використовують дисперсні вогнегасні речовини (наприклад, концентровані аерозолі), а також засобам флегматизації (вогнегасним інгібіторам горіння, інгібіторам запалювання). Для ефективного та безпечного застосування таких засобів необхідні науково-обґрунтовані методики оцінки їх вогнегасних і флегматизувальних властивостей, а також нормативне регулювання проектування, монтажу та технічного обслуговування відповідних систем.</w:t>
      </w:r>
      <w:r w:rsidR="6D754305" w:rsidRPr="00C72952">
        <w:rPr>
          <w:rFonts w:ascii="Times New Roman" w:eastAsia="Times New Roman" w:hAnsi="Times New Roman" w:cs="Times New Roman"/>
          <w:color w:val="000000" w:themeColor="text1"/>
        </w:rPr>
        <w:t>[3]</w:t>
      </w:r>
      <w:r w:rsidRPr="00C72952">
        <w:rPr>
          <w:rFonts w:ascii="Arial" w:eastAsia="Arial" w:hAnsi="Arial" w:cs="Arial"/>
          <w:color w:val="000000" w:themeColor="text1"/>
        </w:rPr>
        <w:t xml:space="preserve"> </w:t>
      </w:r>
      <w:r w:rsidRPr="00C72952">
        <w:rPr>
          <w:rFonts w:ascii="Times New Roman" w:eastAsia="Times New Roman" w:hAnsi="Times New Roman" w:cs="Times New Roman"/>
          <w:color w:val="000000" w:themeColor="text1"/>
        </w:rPr>
        <w:t>Вогнегасні аерозолі можна застосовувати у вибухонебезпечних приміщеннях за умови, якщо виробником одержано відповідні дозволи та схвалення стосовно таких просторів від відповідних органів, що мають повноваження.</w:t>
      </w:r>
    </w:p>
    <w:p w14:paraId="638CEA54" w14:textId="1115971D" w:rsidR="00114B5C" w:rsidRPr="00C72952" w:rsidRDefault="3430C036">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Вогнегасний аерозоль являє собою вогнегасну речовину, що складається з дрібнодисперсних твердих частинок (наприклад, з масовою часткою 40 %), основою яких зазвичай бувають солі лужних металів, і газоподібних речовин (наприклад, з масовою часткою 60 %), головним чином азоту, діоксиду вуглецю і водяної пари. Вогнегасний аерозоль гасить полум’я за рахунок хімічного впливу, перешкоджаючи перебігу ланцюгових реакцій, що відбуваються в полум’ї, завдяки зв’язуванню реакційно здатних вільних радикалів, а також фізичного впливу, а саме охолодження осередку пожежі.</w:t>
      </w:r>
      <w:r w:rsidR="467D9734" w:rsidRPr="00C72952">
        <w:rPr>
          <w:rFonts w:ascii="Times New Roman" w:eastAsia="Times New Roman" w:hAnsi="Times New Roman" w:cs="Times New Roman"/>
          <w:color w:val="000000" w:themeColor="text1"/>
        </w:rPr>
        <w:t>[4]</w:t>
      </w:r>
      <w:r w:rsidRPr="00C72952">
        <w:rPr>
          <w:rFonts w:ascii="Times New Roman" w:eastAsia="Times New Roman" w:hAnsi="Times New Roman" w:cs="Times New Roman"/>
          <w:color w:val="000000" w:themeColor="text1"/>
        </w:rPr>
        <w:t xml:space="preserve"> Обидва процеси відбуваються головним чином на поверхні частинок аерозолю, тобто що менші ці частинки, то ефективніше гасіння. </w:t>
      </w:r>
    </w:p>
    <w:p w14:paraId="6B9051CD" w14:textId="77777777" w:rsidR="00114B5C" w:rsidRPr="00C72952" w:rsidRDefault="3430C036">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Усі пристрої мають бути розраховані на вплив цього вогнегасного аерозолю в умовах, які матимуть місце, і не повинні легко виходити з ладу або бути схильними до випадкового спрацьовування за різних температур.</w:t>
      </w:r>
    </w:p>
    <w:p w14:paraId="51456339" w14:textId="086E2DDC" w:rsidR="00114B5C" w:rsidRPr="00C72952" w:rsidRDefault="3430C036">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Як правило, пристрої мають бути спроектовані для належної роботи за температури від –20 °C до +50 °C або марковані із зазначенням обмежень щодо температури або ж використовуватись у відповідності до вимог виробника, що мають бути вказані на паспортній табличці або (за її відсутності) в настанові виробника.</w:t>
      </w:r>
      <w:r w:rsidR="7850EFD9" w:rsidRPr="00C72952">
        <w:rPr>
          <w:rFonts w:ascii="Times New Roman" w:eastAsia="Times New Roman" w:hAnsi="Times New Roman" w:cs="Times New Roman"/>
          <w:color w:val="000000" w:themeColor="text1"/>
        </w:rPr>
        <w:t>[5]</w:t>
      </w:r>
    </w:p>
    <w:p w14:paraId="1EFFD6A9" w14:textId="77777777" w:rsidR="00114B5C" w:rsidRPr="00C72952" w:rsidRDefault="3430C036">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У випадку вогнегасних аерозолів потрібно приділяти особливої уваги визначенню максимальної температури повітря, за якої можна встановлювати генератор вогнегасного аерозолю без ризику його пуску під впливом самої температури.</w:t>
      </w:r>
    </w:p>
    <w:p w14:paraId="6DAF9DB2" w14:textId="77777777" w:rsidR="00114B5C" w:rsidRPr="00C72952" w:rsidRDefault="3430C036">
      <w:pPr>
        <w:spacing w:after="0" w:line="360" w:lineRule="auto"/>
        <w:ind w:firstLine="567"/>
        <w:contextualSpacing/>
        <w:jc w:val="both"/>
        <w:rPr>
          <w:rFonts w:ascii="Times New Roman" w:eastAsia="Times New Roman" w:hAnsi="Times New Roman" w:cs="Times New Roman"/>
          <w:color w:val="000000" w:themeColor="text1"/>
          <w:highlight w:val="yellow"/>
        </w:rPr>
      </w:pPr>
      <w:r w:rsidRPr="00C72952">
        <w:rPr>
          <w:rFonts w:ascii="Times New Roman" w:eastAsia="Times New Roman" w:hAnsi="Times New Roman" w:cs="Times New Roman"/>
          <w:color w:val="000000" w:themeColor="text1"/>
        </w:rPr>
        <w:t>Генератори вогнегасного аерозолю не повинні встановлюватись на відстані, меншої за зазор, що забезпечує термічну безпеку, вказаний у настанові виробника.</w:t>
      </w:r>
    </w:p>
    <w:p w14:paraId="66A60AAD" w14:textId="6E7E7E12" w:rsidR="00114B5C" w:rsidRPr="00C72952" w:rsidRDefault="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Відомо [</w:t>
      </w:r>
      <w:r w:rsidRPr="00C72952">
        <w:rPr>
          <w:rFonts w:ascii="Times New Roman" w:eastAsia="Times New Roman" w:hAnsi="Times New Roman" w:cs="Times New Roman"/>
          <w:color w:val="000000" w:themeColor="text1"/>
          <w:lang w:val="en-US"/>
        </w:rPr>
        <w:t>ll</w:t>
      </w:r>
      <w:r w:rsidRPr="00C72952">
        <w:rPr>
          <w:rFonts w:ascii="Times New Roman" w:eastAsia="Times New Roman" w:hAnsi="Times New Roman" w:cs="Times New Roman"/>
          <w:color w:val="000000" w:themeColor="text1"/>
        </w:rPr>
        <w:t xml:space="preserve">], що автоматична установка об’ємного пожежогасіння - це установка на основі генераторів вогнегасного аерозолю з електричним запуском із застосуванням </w:t>
      </w:r>
      <w:r w:rsidRPr="00C72952">
        <w:rPr>
          <w:rFonts w:ascii="Times New Roman" w:eastAsia="Times New Roman" w:hAnsi="Times New Roman" w:cs="Times New Roman"/>
          <w:color w:val="000000" w:themeColor="text1"/>
        </w:rPr>
        <w:lastRenderedPageBreak/>
        <w:t>автоматичних засобів виявляння пожежі, у якій вогнегасний аерозоль використовують як вогнегасну речовину.</w:t>
      </w:r>
      <w:r w:rsidRPr="00C72952">
        <w:rPr>
          <w:rFonts w:ascii="Arial" w:eastAsia="Arial" w:hAnsi="Arial" w:cs="Arial"/>
          <w:color w:val="000000" w:themeColor="text1"/>
        </w:rPr>
        <w:t xml:space="preserve"> </w:t>
      </w:r>
      <w:r w:rsidRPr="00C72952">
        <w:rPr>
          <w:rFonts w:ascii="Times New Roman" w:eastAsia="Arial" w:hAnsi="Times New Roman" w:cs="Times New Roman"/>
          <w:color w:val="000000" w:themeColor="text1"/>
        </w:rPr>
        <w:t>Автоматичні установки аерозольного пожежогасіння (</w:t>
      </w:r>
      <w:r w:rsidRPr="00C72952">
        <w:rPr>
          <w:rFonts w:ascii="Times New Roman" w:eastAsia="Times New Roman" w:hAnsi="Times New Roman" w:cs="Times New Roman"/>
          <w:color w:val="000000" w:themeColor="text1"/>
        </w:rPr>
        <w:t>АУАП) застосовують для гасіння (ліквідації) пожеж -  горіння твердих речовин, яке не супроводжується тлінням), класу В (горіння рідких речовин) та локалізування пожеж - горіння твердих речовин, яке супроводжується тлінням. Застосування АУАП для захисту кабельних споруд (напівповерхи, колектори, шахти тощо) допустимо для споруд об’ємом до 3000 м</w:t>
      </w:r>
      <w:r w:rsidRPr="00C72952">
        <w:rPr>
          <w:rFonts w:ascii="Times New Roman" w:eastAsia="Times New Roman" w:hAnsi="Times New Roman" w:cs="Times New Roman"/>
          <w:color w:val="000000" w:themeColor="text1"/>
          <w:vertAlign w:val="superscript"/>
        </w:rPr>
        <w:t>3</w:t>
      </w:r>
      <w:r w:rsidRPr="00C72952">
        <w:rPr>
          <w:rFonts w:ascii="Times New Roman" w:eastAsia="Times New Roman" w:hAnsi="Times New Roman" w:cs="Times New Roman"/>
          <w:color w:val="000000" w:themeColor="text1"/>
        </w:rPr>
        <w:t>, висотою не більшою ніж 10 м, за значень параметра негерметичності приміщення не більше ніж 0,001 м –1 , та за відсутності в електромережі захищуваної споруди пристроїв автоматичного повторного вмикання (або його блокування АУАП).</w:t>
      </w:r>
      <w:r w:rsidR="150C413E" w:rsidRPr="00C72952">
        <w:rPr>
          <w:rFonts w:ascii="Times New Roman" w:eastAsia="Times New Roman" w:hAnsi="Times New Roman" w:cs="Times New Roman"/>
          <w:color w:val="000000" w:themeColor="text1"/>
        </w:rPr>
        <w:t>[6]</w:t>
      </w:r>
      <w:r w:rsidRPr="00C72952">
        <w:rPr>
          <w:rFonts w:ascii="Times New Roman" w:eastAsia="Times New Roman" w:hAnsi="Times New Roman" w:cs="Times New Roman"/>
          <w:color w:val="000000" w:themeColor="text1"/>
        </w:rPr>
        <w:t xml:space="preserve"> Використовуюючи вогнегасний аерозоль чи інший об’ємний засіб пожежогасіння  наприклад порошок чи газ потрібно визначити, чи заповнить він ефективно весь об’єм, чи лиш поверхневі частини. Враховуючи те що питання торкнулось вогнегасних порошків то необхідно зазначити, що вони є достатньо ефективними при гасінні майже всіх класів пожеж. Дія вогнегасних аерозолів та порошків на полум’я визначається рядом фізичних та хімічних факторів. Хімічний вплив, в свою чергу, в залежності від виду порошку і виду полум’я, обумовлює гасіння як гомогенним, так і гетерогенним інгібуванням (гальмуванням) реакцій горіння [</w:t>
      </w:r>
      <w:r w:rsidRPr="00C72952">
        <w:rPr>
          <w:rFonts w:ascii="Times New Roman" w:eastAsia="Times New Roman" w:hAnsi="Times New Roman" w:cs="Times New Roman"/>
          <w:color w:val="000000" w:themeColor="text1"/>
          <w:lang w:val="en-US"/>
        </w:rPr>
        <w:t>ll</w:t>
      </w:r>
      <w:r w:rsidRPr="00C72952">
        <w:rPr>
          <w:rFonts w:ascii="Times New Roman" w:eastAsia="Times New Roman" w:hAnsi="Times New Roman" w:cs="Times New Roman"/>
          <w:color w:val="000000" w:themeColor="text1"/>
        </w:rPr>
        <w:t>]. Гомогенне інгібування здійснюється шляхом втягування активних радикалівв іон-молекулярні комплекси з іонами, молекулами, атомами солей, а також зміною теплових ефектів ряду хімічних реакцій і полівпливу іонів [6]. У випадку гетерогенного механізму інгібування частинки порошку діють як «вловлювачі» активних центрів, що протікають у реакції горіння. Вогнегасні порошки</w:t>
      </w:r>
      <w:r w:rsidRPr="00C72952">
        <w:rPr>
          <w:rFonts w:ascii="Times New Roman" w:eastAsia="Times New Roman" w:hAnsi="Times New Roman" w:cs="Times New Roman"/>
          <w:color w:val="000000" w:themeColor="text1"/>
          <w:lang w:val="ru-RU"/>
        </w:rPr>
        <w:t>,</w:t>
      </w:r>
      <w:r w:rsidRPr="00C72952">
        <w:rPr>
          <w:rFonts w:ascii="Times New Roman" w:eastAsia="Times New Roman" w:hAnsi="Times New Roman" w:cs="Times New Roman"/>
          <w:color w:val="000000" w:themeColor="text1"/>
        </w:rPr>
        <w:t xml:space="preserve"> що гасять класи пожеж А, В, С, </w:t>
      </w:r>
      <w:r w:rsidRPr="00C72952">
        <w:rPr>
          <w:rFonts w:ascii="Times New Roman" w:eastAsia="Times New Roman" w:hAnsi="Times New Roman" w:cs="Times New Roman"/>
          <w:color w:val="000000" w:themeColor="text1"/>
          <w:lang w:val="ru-RU"/>
        </w:rPr>
        <w:t xml:space="preserve">електричне обладнання, </w:t>
      </w:r>
      <w:r w:rsidRPr="00C72952">
        <w:rPr>
          <w:rFonts w:ascii="Times New Roman" w:eastAsia="Times New Roman" w:hAnsi="Times New Roman" w:cs="Times New Roman"/>
          <w:color w:val="000000" w:themeColor="text1"/>
        </w:rPr>
        <w:t xml:space="preserve"> володіють додатковим ефектом, що проявляється в гасінні тліючих речовин та матеріалів пожеж класу А1. З аналізу літературних даних зрозуміло, що вогнегасні порошки – одні з найбільш ефективних засобів пожежогасіння, однак недостатнє ознайомлення з основними факторами їх дії на вогнища пожеж різних класів призводило до неправильного застосування тих чи інших марок порошків або аерозолю в умовах реальних пожеж. Також вогнегасний порошок, на відміну від вогнегасних газів, швидко осідає після потрапляння в об’єм та не забезпечує збереження вогнегасної концентрації до 30 хвилин. Таким чином вогнегасні порошки не є універсальними об’ємними засобами пожежогасіння.</w:t>
      </w:r>
    </w:p>
    <w:p w14:paraId="2ECCF6CB" w14:textId="0AAAE099" w:rsidR="00114B5C" w:rsidRPr="00C72952" w:rsidRDefault="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Також необхідно виокремити питання вогнегасної дії дисперсної води або їх соляних водних розчинів. Їх дія проявляється в основному завдяки охолоджувальному чиннику і, звичайно, розбавленню зони реакції при утворенні водяної пари, а також </w:t>
      </w:r>
      <w:r w:rsidRPr="00C72952">
        <w:rPr>
          <w:rFonts w:ascii="Times New Roman" w:eastAsia="Times New Roman" w:hAnsi="Times New Roman" w:cs="Times New Roman"/>
          <w:color w:val="000000" w:themeColor="text1"/>
        </w:rPr>
        <w:lastRenderedPageBreak/>
        <w:t>зміні теплофізичних властивостей горючої системи.</w:t>
      </w:r>
      <w:r w:rsidR="13413F0E" w:rsidRPr="00C72952">
        <w:rPr>
          <w:rFonts w:ascii="Times New Roman" w:eastAsia="Times New Roman" w:hAnsi="Times New Roman" w:cs="Times New Roman"/>
          <w:color w:val="000000" w:themeColor="text1"/>
        </w:rPr>
        <w:t>[11]</w:t>
      </w:r>
      <w:r w:rsidRPr="00C72952">
        <w:rPr>
          <w:rFonts w:ascii="Times New Roman" w:eastAsia="Times New Roman" w:hAnsi="Times New Roman" w:cs="Times New Roman"/>
          <w:color w:val="000000" w:themeColor="text1"/>
        </w:rPr>
        <w:t xml:space="preserve"> Стосовно установок газового пожежогасіння (УГП), які на теперішній час все більш широко застосовуються для протипожежного захисту тунелів та технологічного обладнання. Вогнегасний газ ефективно ліквідовує пожежі об’ємним способом та легко проникає в зону горіння пожежі, куди подавання інших речовин, наприклад порошку, піни, розпиленої води, є ускладненим. Після ліквідації пожежі або несанкціонованого пуску УГП газова вогнегасна речовина (ГВР), так салол як і аерозоль практично, не створює шкідливого впливу на матеріальні цінності, що охороняються, порівняно з іншими вогнегасними речовинами та легко видаляється вентиляційним способом.</w:t>
      </w:r>
      <w:r w:rsidR="219A3812" w:rsidRPr="00C72952">
        <w:rPr>
          <w:rFonts w:ascii="Times New Roman" w:eastAsia="Times New Roman" w:hAnsi="Times New Roman" w:cs="Times New Roman"/>
          <w:color w:val="000000" w:themeColor="text1"/>
        </w:rPr>
        <w:t>[10]</w:t>
      </w:r>
      <w:r w:rsidRPr="00C72952">
        <w:rPr>
          <w:rFonts w:ascii="Times New Roman" w:eastAsia="Times New Roman" w:hAnsi="Times New Roman" w:cs="Times New Roman"/>
          <w:color w:val="000000" w:themeColor="text1"/>
        </w:rPr>
        <w:t xml:space="preserve"> Тому автоматичні установки газового пожежогасіння (АУГП) широко застосовують для захисту електрокабелів, приладів та щитів управління . Кожна з дозволених до застосування ГВР є достатньо ефективною і пожежу буде ліквідовано, якщо в захищуваному об’ємі буде створено нормативну вогнегасну концентрацію, встановлено час її подавання, виходячи з науково обґрунтованого прогнозу зниження температури в зоні горіння до 100</w:t>
      </w:r>
      <w:r w:rsidRPr="00C72952">
        <w:rPr>
          <w:rFonts w:ascii="Times New Roman" w:eastAsia="Times New Roman" w:hAnsi="Times New Roman" w:cs="Times New Roman"/>
          <w:color w:val="000000" w:themeColor="text1"/>
          <w:vertAlign w:val="superscript"/>
        </w:rPr>
        <w:t>0</w:t>
      </w:r>
      <w:r w:rsidRPr="00C72952">
        <w:rPr>
          <w:rFonts w:ascii="Times New Roman" w:eastAsia="Times New Roman" w:hAnsi="Times New Roman" w:cs="Times New Roman"/>
          <w:color w:val="000000" w:themeColor="text1"/>
        </w:rPr>
        <w:t xml:space="preserve">С. Існує два способи газового пожежогасіння: </w:t>
      </w:r>
      <w:r w:rsidRPr="00C72952">
        <w:rPr>
          <w:rFonts w:ascii="Times New Roman" w:eastAsia="Times New Roman" w:hAnsi="Times New Roman" w:cs="Times New Roman"/>
          <w:bCs/>
          <w:color w:val="000000" w:themeColor="text1"/>
        </w:rPr>
        <w:t>об’ємний та локально-об’ємний</w:t>
      </w:r>
      <w:r w:rsidRPr="00C72952">
        <w:rPr>
          <w:rFonts w:ascii="Times New Roman" w:eastAsia="Times New Roman" w:hAnsi="Times New Roman" w:cs="Times New Roman"/>
          <w:b/>
          <w:bCs/>
          <w:color w:val="000000" w:themeColor="text1"/>
        </w:rPr>
        <w:t xml:space="preserve">. </w:t>
      </w:r>
    </w:p>
    <w:p w14:paraId="3DBA56A9" w14:textId="77777777" w:rsidR="00114B5C" w:rsidRPr="00C72952" w:rsidRDefault="00114B5C">
      <w:pPr>
        <w:spacing w:after="0" w:line="360" w:lineRule="auto"/>
        <w:ind w:firstLine="567"/>
        <w:contextualSpacing/>
        <w:jc w:val="both"/>
        <w:rPr>
          <w:rFonts w:ascii="Times New Roman" w:eastAsia="Times New Roman" w:hAnsi="Times New Roman" w:cs="Times New Roman"/>
          <w:color w:val="000000" w:themeColor="text1"/>
          <w:lang w:val="ru-RU"/>
        </w:rPr>
      </w:pPr>
    </w:p>
    <w:p w14:paraId="754A99EC" w14:textId="77777777" w:rsidR="00114B5C" w:rsidRPr="00C72952" w:rsidRDefault="3430C036" w:rsidP="3430C036">
      <w:pPr>
        <w:spacing w:after="0" w:line="360" w:lineRule="auto"/>
        <w:ind w:left="7080" w:firstLine="567"/>
        <w:contextualSpacing/>
        <w:jc w:val="both"/>
        <w:rPr>
          <w:rFonts w:ascii="Times New Roman" w:eastAsia="Times New Roman" w:hAnsi="Times New Roman" w:cs="Times New Roman"/>
          <w:color w:val="000000" w:themeColor="text1"/>
          <w:lang w:val="ru-RU"/>
        </w:rPr>
      </w:pPr>
      <w:r w:rsidRPr="00C72952">
        <w:rPr>
          <w:rFonts w:ascii="Times New Roman" w:eastAsia="Times New Roman" w:hAnsi="Times New Roman" w:cs="Times New Roman"/>
          <w:color w:val="000000" w:themeColor="text1"/>
          <w:lang w:val="ru-RU"/>
        </w:rPr>
        <w:t xml:space="preserve"> Таблиця 1. </w:t>
      </w:r>
    </w:p>
    <w:p w14:paraId="1405E286" w14:textId="77777777" w:rsidR="00114B5C" w:rsidRPr="00C72952" w:rsidRDefault="3430C036" w:rsidP="3430C036">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lang w:val="ru-RU"/>
        </w:rPr>
        <w:t>Перел</w:t>
      </w:r>
      <w:r w:rsidRPr="00C72952">
        <w:rPr>
          <w:rFonts w:ascii="Times New Roman" w:eastAsia="Times New Roman" w:hAnsi="Times New Roman" w:cs="Times New Roman"/>
          <w:color w:val="000000" w:themeColor="text1"/>
        </w:rPr>
        <w:t>ік нормативних документів що регламентують використання засобі</w:t>
      </w:r>
      <w:proofErr w:type="gramStart"/>
      <w:r w:rsidRPr="00C72952">
        <w:rPr>
          <w:rFonts w:ascii="Times New Roman" w:eastAsia="Times New Roman" w:hAnsi="Times New Roman" w:cs="Times New Roman"/>
          <w:color w:val="000000" w:themeColor="text1"/>
        </w:rPr>
        <w:t>в</w:t>
      </w:r>
      <w:proofErr w:type="gramEnd"/>
      <w:r w:rsidRPr="00C72952">
        <w:rPr>
          <w:rFonts w:ascii="Times New Roman" w:eastAsia="Times New Roman" w:hAnsi="Times New Roman" w:cs="Times New Roman"/>
          <w:color w:val="000000" w:themeColor="text1"/>
        </w:rPr>
        <w:t xml:space="preserve"> об’ємного пожежогасіння.</w:t>
      </w:r>
    </w:p>
    <w:tbl>
      <w:tblPr>
        <w:tblW w:w="9120" w:type="dxa"/>
        <w:tblLayout w:type="fixed"/>
        <w:tblLook w:val="04A0" w:firstRow="1" w:lastRow="0" w:firstColumn="1" w:lastColumn="0" w:noHBand="0" w:noVBand="1"/>
      </w:tblPr>
      <w:tblGrid>
        <w:gridCol w:w="1875"/>
        <w:gridCol w:w="7245"/>
      </w:tblGrid>
      <w:tr w:rsidR="00114B5C" w:rsidRPr="00C72952" w14:paraId="4DE99A94" w14:textId="77777777" w:rsidTr="3430C036">
        <w:trPr>
          <w:trHeight w:val="11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15EAD" w14:textId="77777777" w:rsidR="00114B5C" w:rsidRPr="00C72952" w:rsidRDefault="3430C036" w:rsidP="00C72952">
            <w:pPr>
              <w:spacing w:after="0" w:line="360" w:lineRule="auto"/>
              <w:jc w:val="both"/>
              <w:rPr>
                <w:rFonts w:ascii="Times New Roman" w:eastAsia="Times New Roman" w:hAnsi="Times New Roman" w:cs="Times New Roman"/>
                <w:bCs/>
                <w:color w:val="000000" w:themeColor="text1"/>
              </w:rPr>
            </w:pPr>
            <w:r w:rsidRPr="00C72952">
              <w:rPr>
                <w:rFonts w:ascii="Times New Roman" w:eastAsia="Times New Roman" w:hAnsi="Times New Roman" w:cs="Times New Roman"/>
                <w:bCs/>
                <w:color w:val="000000" w:themeColor="text1"/>
              </w:rPr>
              <w:t xml:space="preserve">Тип гасіння </w:t>
            </w:r>
          </w:p>
          <w:p w14:paraId="28A25EFB" w14:textId="77777777" w:rsidR="00114B5C" w:rsidRPr="00C72952" w:rsidRDefault="3430C036" w:rsidP="00C72952">
            <w:pPr>
              <w:spacing w:after="0" w:line="360" w:lineRule="auto"/>
              <w:jc w:val="both"/>
              <w:rPr>
                <w:rFonts w:ascii="Times New Roman" w:eastAsia="Times New Roman" w:hAnsi="Times New Roman" w:cs="Times New Roman"/>
                <w:bCs/>
                <w:color w:val="000000" w:themeColor="text1"/>
              </w:rPr>
            </w:pPr>
            <w:r w:rsidRPr="00C72952">
              <w:rPr>
                <w:rFonts w:ascii="Times New Roman" w:eastAsia="Times New Roman" w:hAnsi="Times New Roman" w:cs="Times New Roman"/>
                <w:bCs/>
                <w:color w:val="000000" w:themeColor="text1"/>
              </w:rPr>
              <w:t>об’єкта,</w:t>
            </w:r>
          </w:p>
          <w:p w14:paraId="1C340868" w14:textId="77777777" w:rsidR="00114B5C" w:rsidRPr="00C72952" w:rsidRDefault="3430C036" w:rsidP="00C72952">
            <w:pPr>
              <w:spacing w:after="0" w:line="360" w:lineRule="auto"/>
              <w:jc w:val="both"/>
              <w:rPr>
                <w:rFonts w:ascii="Times New Roman" w:eastAsia="Times New Roman" w:hAnsi="Times New Roman" w:cs="Times New Roman"/>
                <w:bCs/>
                <w:color w:val="000000" w:themeColor="text1"/>
              </w:rPr>
            </w:pPr>
            <w:r w:rsidRPr="00C72952">
              <w:rPr>
                <w:rFonts w:ascii="Times New Roman" w:eastAsia="Times New Roman" w:hAnsi="Times New Roman" w:cs="Times New Roman"/>
                <w:bCs/>
                <w:color w:val="000000" w:themeColor="text1"/>
              </w:rPr>
              <w:t>приміщення</w:t>
            </w:r>
          </w:p>
        </w:tc>
        <w:tc>
          <w:tcPr>
            <w:tcW w:w="7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312B0" w14:textId="77777777" w:rsidR="00114B5C" w:rsidRPr="00C72952" w:rsidRDefault="3430C036" w:rsidP="3430C036">
            <w:pPr>
              <w:spacing w:after="0" w:line="360" w:lineRule="auto"/>
              <w:ind w:firstLine="567"/>
              <w:jc w:val="both"/>
              <w:rPr>
                <w:rFonts w:ascii="Times New Roman" w:eastAsia="Times New Roman" w:hAnsi="Times New Roman" w:cs="Times New Roman"/>
                <w:bCs/>
                <w:color w:val="000000" w:themeColor="text1"/>
              </w:rPr>
            </w:pPr>
            <w:r w:rsidRPr="00C72952">
              <w:rPr>
                <w:rFonts w:ascii="Times New Roman" w:eastAsia="Times New Roman" w:hAnsi="Times New Roman" w:cs="Times New Roman"/>
                <w:bCs/>
                <w:color w:val="000000" w:themeColor="text1"/>
              </w:rPr>
              <w:t xml:space="preserve">Нормативні документи </w:t>
            </w:r>
          </w:p>
        </w:tc>
      </w:tr>
      <w:tr w:rsidR="00114B5C" w:rsidRPr="00C72952" w14:paraId="3AECAD4A" w14:textId="77777777" w:rsidTr="3430C036">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CDF4B" w14:textId="77777777" w:rsidR="00114B5C" w:rsidRPr="00C72952" w:rsidRDefault="3430C036" w:rsidP="3430C036">
            <w:pPr>
              <w:spacing w:after="0" w:line="360" w:lineRule="auto"/>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Порошкове гасіння</w:t>
            </w:r>
          </w:p>
        </w:tc>
        <w:tc>
          <w:tcPr>
            <w:tcW w:w="7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EB9B6"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bCs/>
                <w:color w:val="000000" w:themeColor="text1"/>
              </w:rPr>
              <w:t>-</w:t>
            </w:r>
            <w:r w:rsidRPr="00C72952">
              <w:rPr>
                <w:rFonts w:ascii="Times New Roman" w:eastAsia="Times New Roman" w:hAnsi="Times New Roman" w:cs="Times New Roman"/>
                <w:color w:val="000000" w:themeColor="text1"/>
              </w:rPr>
              <w:t xml:space="preserve"> </w:t>
            </w:r>
            <w:r w:rsidRPr="00C72952">
              <w:rPr>
                <w:rFonts w:ascii="Times New Roman" w:eastAsia="Times New Roman" w:hAnsi="Times New Roman" w:cs="Times New Roman"/>
                <w:bCs/>
                <w:color w:val="000000" w:themeColor="text1"/>
              </w:rPr>
              <w:t>ДСТУ EN 12416-1:2015</w:t>
            </w:r>
            <w:r w:rsidRPr="00C72952">
              <w:rPr>
                <w:rFonts w:ascii="Times New Roman" w:eastAsia="Times New Roman" w:hAnsi="Times New Roman" w:cs="Times New Roman"/>
                <w:color w:val="000000" w:themeColor="text1"/>
              </w:rPr>
              <w:t xml:space="preserve"> «Стаціонарні системи порошкового пожежогасіння. Частина 1. Вимоги до компонентів і методи випробувань»</w:t>
            </w:r>
          </w:p>
          <w:p w14:paraId="3DEA0708"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 </w:t>
            </w:r>
            <w:r w:rsidRPr="00C72952">
              <w:rPr>
                <w:rFonts w:ascii="Times New Roman" w:eastAsia="Times New Roman" w:hAnsi="Times New Roman" w:cs="Times New Roman"/>
                <w:bCs/>
                <w:color w:val="000000" w:themeColor="text1"/>
              </w:rPr>
              <w:t xml:space="preserve">ДСТУ EN 12416-2:2015 </w:t>
            </w:r>
            <w:r w:rsidRPr="00C72952">
              <w:rPr>
                <w:rFonts w:ascii="Times New Roman" w:eastAsia="Times New Roman" w:hAnsi="Times New Roman" w:cs="Times New Roman"/>
                <w:color w:val="000000" w:themeColor="text1"/>
              </w:rPr>
              <w:t>«Стаціонарні системи порошкового пожежогасіння. Частина 2. Проектування, монтаж та технічне обслуговування»</w:t>
            </w:r>
          </w:p>
          <w:p w14:paraId="17EF3FF7" w14:textId="77777777" w:rsidR="00114B5C" w:rsidRPr="00C72952" w:rsidRDefault="3430C036" w:rsidP="3430C036">
            <w:pPr>
              <w:spacing w:after="0" w:line="360" w:lineRule="auto"/>
              <w:ind w:firstLine="567"/>
              <w:jc w:val="both"/>
              <w:rPr>
                <w:rFonts w:ascii="Times New Roman" w:eastAsia="Times New Roman" w:hAnsi="Times New Roman" w:cs="Times New Roman"/>
                <w:bCs/>
                <w:color w:val="000000" w:themeColor="text1"/>
              </w:rPr>
            </w:pPr>
            <w:r w:rsidRPr="00C72952">
              <w:rPr>
                <w:rFonts w:ascii="Times New Roman" w:eastAsia="Times New Roman" w:hAnsi="Times New Roman" w:cs="Times New Roman"/>
                <w:color w:val="000000" w:themeColor="text1"/>
              </w:rPr>
              <w:t xml:space="preserve">- </w:t>
            </w:r>
            <w:r w:rsidRPr="00C72952">
              <w:rPr>
                <w:rFonts w:ascii="Times New Roman" w:eastAsia="Times New Roman" w:hAnsi="Times New Roman" w:cs="Times New Roman"/>
                <w:bCs/>
                <w:color w:val="000000" w:themeColor="text1"/>
              </w:rPr>
              <w:t>ДСТУ ISO 7202:2005</w:t>
            </w:r>
          </w:p>
          <w:p w14:paraId="0B26613F"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bCs/>
                <w:color w:val="000000" w:themeColor="text1"/>
              </w:rPr>
              <w:t>- ISO 7202:2003</w:t>
            </w:r>
            <w:r w:rsidRPr="00C72952">
              <w:rPr>
                <w:rFonts w:ascii="Times New Roman" w:eastAsia="Times New Roman" w:hAnsi="Times New Roman" w:cs="Times New Roman"/>
                <w:color w:val="000000" w:themeColor="text1"/>
              </w:rPr>
              <w:t xml:space="preserve"> — Fire extinguishing media</w:t>
            </w:r>
          </w:p>
        </w:tc>
      </w:tr>
      <w:tr w:rsidR="00114B5C" w:rsidRPr="00C72952" w14:paraId="2B678CBC" w14:textId="77777777" w:rsidTr="3430C036">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E7E9F" w14:textId="77777777" w:rsidR="00114B5C" w:rsidRPr="00C72952" w:rsidRDefault="3430C036" w:rsidP="3430C036">
            <w:pPr>
              <w:spacing w:after="0" w:line="360" w:lineRule="auto"/>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Газове гасіння </w:t>
            </w:r>
          </w:p>
        </w:tc>
        <w:tc>
          <w:tcPr>
            <w:tcW w:w="7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A04A8"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bCs/>
                <w:color w:val="000000" w:themeColor="text1"/>
              </w:rPr>
              <w:t>- ДСТУ EN 12094-1:2015 «Протипожежна техніка.</w:t>
            </w:r>
            <w:r w:rsidRPr="00C72952">
              <w:rPr>
                <w:rFonts w:ascii="Times New Roman" w:eastAsia="Times New Roman" w:hAnsi="Times New Roman" w:cs="Times New Roman"/>
                <w:color w:val="000000" w:themeColor="text1"/>
              </w:rPr>
              <w:t xml:space="preserve"> Стаціонарні системи газового пожежогасіння. Компоненти систем газового пожежогасіння. Частина 1. Вимоги до електричних </w:t>
            </w:r>
            <w:r w:rsidRPr="00C72952">
              <w:rPr>
                <w:rFonts w:ascii="Times New Roman" w:eastAsia="Times New Roman" w:hAnsi="Times New Roman" w:cs="Times New Roman"/>
                <w:color w:val="000000" w:themeColor="text1"/>
              </w:rPr>
              <w:lastRenderedPageBreak/>
              <w:t>пристроїв автоматичного управління і затримки та методи їх випробувань»</w:t>
            </w:r>
          </w:p>
          <w:p w14:paraId="7D42D8CD"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Arial" w:hAnsi="Times New Roman" w:cs="Times New Roman"/>
                <w:color w:val="000000" w:themeColor="text1"/>
              </w:rPr>
              <w:t xml:space="preserve">- </w:t>
            </w:r>
            <w:r w:rsidRPr="00C72952">
              <w:rPr>
                <w:rFonts w:ascii="Times New Roman" w:eastAsia="Times New Roman" w:hAnsi="Times New Roman" w:cs="Times New Roman"/>
                <w:bCs/>
                <w:color w:val="000000" w:themeColor="text1"/>
              </w:rPr>
              <w:t xml:space="preserve">ДБН В.2.5-56:2014 </w:t>
            </w:r>
            <w:r w:rsidRPr="00C72952">
              <w:rPr>
                <w:rFonts w:ascii="Times New Roman" w:eastAsia="Times New Roman" w:hAnsi="Times New Roman" w:cs="Times New Roman"/>
                <w:color w:val="000000" w:themeColor="text1"/>
              </w:rPr>
              <w:t>«Системи протипожежного захисту»</w:t>
            </w:r>
          </w:p>
          <w:p w14:paraId="44A2FC48"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bCs/>
                <w:color w:val="000000" w:themeColor="text1"/>
              </w:rPr>
              <w:t xml:space="preserve">- ISO 14520-1:2015 </w:t>
            </w:r>
            <w:r w:rsidRPr="00C72952">
              <w:rPr>
                <w:rFonts w:ascii="Times New Roman" w:eastAsia="Times New Roman" w:hAnsi="Times New Roman" w:cs="Times New Roman"/>
                <w:color w:val="000000" w:themeColor="text1"/>
              </w:rPr>
              <w:t>«Gaseous fire-extinguishing systems — Physical properties and system design — Part 1: General requirements»</w:t>
            </w:r>
          </w:p>
        </w:tc>
      </w:tr>
      <w:tr w:rsidR="00114B5C" w:rsidRPr="00C72952" w14:paraId="4499D43B" w14:textId="77777777" w:rsidTr="3430C036">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883FE2" w14:textId="77777777" w:rsidR="00114B5C" w:rsidRPr="00C72952" w:rsidRDefault="3430C036" w:rsidP="3430C036">
            <w:pPr>
              <w:spacing w:after="0" w:line="360" w:lineRule="auto"/>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lastRenderedPageBreak/>
              <w:t>Вогнегасний аерозоль</w:t>
            </w:r>
          </w:p>
        </w:tc>
        <w:tc>
          <w:tcPr>
            <w:tcW w:w="7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D4C53"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Arial" w:hAnsi="Times New Roman" w:cs="Times New Roman"/>
                <w:color w:val="000000" w:themeColor="text1"/>
              </w:rPr>
              <w:t xml:space="preserve">- </w:t>
            </w:r>
            <w:r w:rsidRPr="00C72952">
              <w:rPr>
                <w:rFonts w:ascii="Times New Roman" w:eastAsia="Times New Roman" w:hAnsi="Times New Roman" w:cs="Times New Roman"/>
                <w:bCs/>
                <w:color w:val="000000" w:themeColor="text1"/>
              </w:rPr>
              <w:t xml:space="preserve">ДСТУ 4490-2005 </w:t>
            </w:r>
            <w:r w:rsidRPr="00C72952">
              <w:rPr>
                <w:rFonts w:ascii="Times New Roman" w:eastAsia="Times New Roman" w:hAnsi="Times New Roman" w:cs="Times New Roman"/>
                <w:color w:val="000000" w:themeColor="text1"/>
              </w:rPr>
              <w:t>«Установки автоматичного аерозольного пожежогасіння. Загальні технічні вимоги»</w:t>
            </w:r>
          </w:p>
          <w:p w14:paraId="19F65FE2"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w:t>
            </w:r>
            <w:r w:rsidRPr="00C72952">
              <w:rPr>
                <w:rFonts w:ascii="Times New Roman" w:eastAsia="Times New Roman" w:hAnsi="Times New Roman" w:cs="Times New Roman"/>
                <w:bCs/>
                <w:color w:val="000000" w:themeColor="text1"/>
              </w:rPr>
              <w:t xml:space="preserve"> ДБН В.2.5-56:2014 </w:t>
            </w:r>
            <w:r w:rsidRPr="00C72952">
              <w:rPr>
                <w:rFonts w:ascii="Times New Roman" w:eastAsia="Times New Roman" w:hAnsi="Times New Roman" w:cs="Times New Roman"/>
                <w:color w:val="000000" w:themeColor="text1"/>
              </w:rPr>
              <w:t>«Системи протипожежного захисту»</w:t>
            </w:r>
          </w:p>
          <w:p w14:paraId="56D11C2F"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 </w:t>
            </w:r>
            <w:r w:rsidRPr="00C72952">
              <w:rPr>
                <w:rFonts w:ascii="Times New Roman" w:eastAsia="Times New Roman" w:hAnsi="Times New Roman" w:cs="Times New Roman"/>
                <w:bCs/>
              </w:rPr>
              <w:t>ДСТУ 15276–1:2021</w:t>
            </w:r>
            <w:r w:rsidRPr="00C72952">
              <w:rPr>
                <w:rFonts w:ascii="Times New Roman" w:eastAsia="Times New Roman" w:hAnsi="Times New Roman" w:cs="Times New Roman"/>
              </w:rPr>
              <w:t xml:space="preserve"> “</w:t>
            </w:r>
            <w:r w:rsidRPr="00C72952">
              <w:rPr>
                <w:rFonts w:ascii="Times New Roman" w:eastAsia="Times New Roman" w:hAnsi="Times New Roman" w:cs="Times New Roman"/>
                <w:color w:val="000000" w:themeColor="text1"/>
              </w:rPr>
              <w:t>СТАЦІОНАРНІ СИСТЕМИ ПОЖЕЖОГАСІННЯ. СИСТЕМИ АЕРОЗОЛЬНОГО ПОЖЕЖОГАСІННЯ</w:t>
            </w:r>
            <w:r w:rsidRPr="00C72952">
              <w:rPr>
                <w:rFonts w:ascii="Times New Roman" w:eastAsia="Times New Roman" w:hAnsi="Times New Roman" w:cs="Times New Roman"/>
              </w:rPr>
              <w:t>”</w:t>
            </w:r>
          </w:p>
          <w:p w14:paraId="0C674515" w14:textId="77777777" w:rsidR="00114B5C" w:rsidRPr="00C72952" w:rsidRDefault="3430C036" w:rsidP="3430C036">
            <w:pPr>
              <w:spacing w:after="0" w:line="360" w:lineRule="auto"/>
              <w:ind w:firstLine="567"/>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bCs/>
                <w:color w:val="000000" w:themeColor="text1"/>
              </w:rPr>
              <w:t xml:space="preserve">- ISO 15779:2011 </w:t>
            </w:r>
            <w:r w:rsidRPr="00C72952">
              <w:rPr>
                <w:rFonts w:ascii="Times New Roman" w:eastAsia="Times New Roman" w:hAnsi="Times New Roman" w:cs="Times New Roman"/>
                <w:color w:val="000000" w:themeColor="text1"/>
              </w:rPr>
              <w:t>Condensed aerosol fire extinguishing systems — Requirements and test methods for components and system design</w:t>
            </w:r>
          </w:p>
        </w:tc>
      </w:tr>
    </w:tbl>
    <w:p w14:paraId="54F746F9" w14:textId="77777777" w:rsidR="00114B5C" w:rsidRPr="00C72952" w:rsidRDefault="00114B5C" w:rsidP="3430C036">
      <w:pPr>
        <w:spacing w:after="0" w:line="360" w:lineRule="auto"/>
        <w:ind w:firstLine="567"/>
        <w:contextualSpacing/>
        <w:jc w:val="both"/>
        <w:rPr>
          <w:rFonts w:ascii="Times New Roman" w:eastAsia="Times New Roman" w:hAnsi="Times New Roman" w:cs="Times New Roman"/>
          <w:iCs/>
          <w:color w:val="000000" w:themeColor="text1"/>
        </w:rPr>
      </w:pPr>
    </w:p>
    <w:p w14:paraId="482F722C" w14:textId="77777777" w:rsidR="00114B5C" w:rsidRPr="00C72952" w:rsidRDefault="3430C036" w:rsidP="3430C036">
      <w:pPr>
        <w:spacing w:after="0" w:line="360" w:lineRule="auto"/>
        <w:ind w:firstLine="567"/>
        <w:contextualSpacing/>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iCs/>
          <w:color w:val="000000" w:themeColor="text1"/>
        </w:rPr>
        <w:t xml:space="preserve">  Аналіз недоліків та причин низької ефективності недоліків  при випробуванні та добровільній сертифікації порошкових та аерозольних засобів пожежогасіння, шляхи їх усунення.</w:t>
      </w:r>
    </w:p>
    <w:p w14:paraId="362CC7B6" w14:textId="54AD2155" w:rsidR="00114B5C" w:rsidRPr="00C72952" w:rsidRDefault="3430C036" w:rsidP="00C72952">
      <w:pPr>
        <w:spacing w:after="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bCs/>
        </w:rPr>
        <w:t>Аерозольний метод є об'ємним методом гасіння пожеж</w:t>
      </w:r>
      <w:r w:rsidRPr="00C72952">
        <w:rPr>
          <w:rFonts w:ascii="Times New Roman" w:eastAsia="Times New Roman" w:hAnsi="Times New Roman" w:cs="Times New Roman"/>
        </w:rPr>
        <w:t>, тобто у всьому приміщенні створюється середовище, що не підтримує процес горіння, навіть у важкодоступних місцях. Вогнегасна концентрація аерозолю може зберігатися у приміщенні більше півгодини. Завдяки цьому виключається можливість повторного займання. У ДСТУ 15276 –1:2021</w:t>
      </w:r>
      <w:r w:rsidR="7F9964DF" w:rsidRPr="00C72952">
        <w:rPr>
          <w:rFonts w:ascii="Times New Roman" w:eastAsia="Times New Roman" w:hAnsi="Times New Roman" w:cs="Times New Roman"/>
        </w:rPr>
        <w:t xml:space="preserve"> </w:t>
      </w:r>
      <w:r w:rsidRPr="00C72952">
        <w:rPr>
          <w:rFonts w:ascii="Times New Roman" w:eastAsia="Times New Roman" w:hAnsi="Times New Roman" w:cs="Times New Roman"/>
        </w:rPr>
        <w:t>існує визначення е</w:t>
      </w:r>
      <w:r w:rsidRPr="00C72952">
        <w:rPr>
          <w:rFonts w:ascii="Times New Roman" w:eastAsia="Times New Roman" w:hAnsi="Times New Roman" w:cs="Times New Roman"/>
          <w:color w:val="000000" w:themeColor="text1"/>
        </w:rPr>
        <w:t>фективності використання аерозолеутворювальної композиції — це оцінене значення дійсної маси вогнегасної речовини, поданої генератором певного типу, що забезпечує досягнення дійсного значення показника вогнегасної здатності аерозолевої вогнегасної речовини в модельній споруді. Також існують вимоги до генераторів вогнегасного аерозолю,</w:t>
      </w:r>
      <w:r w:rsidRPr="00C72952">
        <w:rPr>
          <w:rFonts w:ascii="Times New Roman" w:eastAsia="Times New Roman" w:hAnsi="Times New Roman" w:cs="Times New Roman"/>
          <w:b/>
          <w:bCs/>
          <w:color w:val="000000" w:themeColor="text1"/>
        </w:rPr>
        <w:t xml:space="preserve"> де в</w:t>
      </w:r>
      <w:r w:rsidRPr="00C72952">
        <w:rPr>
          <w:rFonts w:ascii="Times New Roman" w:eastAsia="Times New Roman" w:hAnsi="Times New Roman" w:cs="Times New Roman"/>
          <w:color w:val="000000" w:themeColor="text1"/>
        </w:rPr>
        <w:t xml:space="preserve">иробник має вказати мінімальну відстань від випускного соплового отвору генератора до найближчої перепони. Виробник має вказати мінімальну та максимальну масу вогнегасного аерозолю, твердої аерозолеутворючої композиції в генераторі. Показник вогнегасної здатності для певних горючих матеріалів, горіння яких належить до пожеж різних класів, максимальну захищувану площу і відповідні значення максимальної та мінімальної висоти захищуваного приміщення для кожного типорозміру генератора вогнегасного аерозолю, Тривалість подавання вогнегасної речовини, робочі діапазони </w:t>
      </w:r>
      <w:r w:rsidRPr="00C72952">
        <w:rPr>
          <w:rFonts w:ascii="Times New Roman" w:eastAsia="Times New Roman" w:hAnsi="Times New Roman" w:cs="Times New Roman"/>
          <w:color w:val="000000" w:themeColor="text1"/>
        </w:rPr>
        <w:lastRenderedPageBreak/>
        <w:t>температури і відносної вологості повітря - генератори вогнегасного аерозолю мають спрацьовувати за температур повітря, вказаних виробником, вимогою є їх спрацьовування в діапазоні принаймні від мінус 20 C до +50 C, термін та умови зберігання, температура струменя вогнегасного аерозолю - вибрані типорозміри виробів мають відповідати захищуваному об’єму з огляду на мінімальний зазор, що забезпечує термічну безпеку, від випускн</w:t>
      </w:r>
      <w:r w:rsidR="00C72952" w:rsidRPr="00C72952">
        <w:rPr>
          <w:rFonts w:ascii="Times New Roman" w:eastAsia="Times New Roman" w:hAnsi="Times New Roman" w:cs="Times New Roman"/>
          <w:color w:val="000000" w:themeColor="text1"/>
        </w:rPr>
        <w:t xml:space="preserve">ого соплового отвору генератора </w:t>
      </w:r>
      <w:r w:rsidR="60EA760C" w:rsidRPr="00C72952">
        <w:rPr>
          <w:rFonts w:ascii="Times New Roman" w:eastAsia="Times New Roman" w:hAnsi="Times New Roman" w:cs="Times New Roman"/>
          <w:color w:val="000000" w:themeColor="text1"/>
        </w:rPr>
        <w:t>[5]</w:t>
      </w:r>
      <w:r w:rsidR="00C72952" w:rsidRPr="00C72952">
        <w:rPr>
          <w:rFonts w:ascii="Times New Roman" w:eastAsia="Times New Roman" w:hAnsi="Times New Roman" w:cs="Times New Roman"/>
          <w:color w:val="000000" w:themeColor="text1"/>
        </w:rPr>
        <w:t>.</w:t>
      </w:r>
      <w:r w:rsidRPr="00C72952">
        <w:rPr>
          <w:rFonts w:ascii="Times New Roman" w:eastAsia="Times New Roman" w:hAnsi="Times New Roman" w:cs="Times New Roman"/>
          <w:color w:val="000000" w:themeColor="text1"/>
        </w:rPr>
        <w:t xml:space="preserve"> Та при цих всіх параметрах, жоден виробник та документ не вказує:</w:t>
      </w:r>
      <w:r w:rsidR="00C72952" w:rsidRPr="00C72952">
        <w:rPr>
          <w:rFonts w:ascii="Times New Roman" w:eastAsia="Times New Roman" w:hAnsi="Times New Roman" w:cs="Times New Roman"/>
          <w:color w:val="000000" w:themeColor="text1"/>
        </w:rPr>
        <w:t xml:space="preserve"> </w:t>
      </w:r>
      <w:proofErr w:type="spellStart"/>
      <w:r w:rsidR="00C72952" w:rsidRPr="00C72952">
        <w:rPr>
          <w:rFonts w:ascii="Times New Roman" w:eastAsia="Times New Roman" w:hAnsi="Times New Roman" w:cs="Times New Roman"/>
          <w:color w:val="000000" w:themeColor="text1"/>
        </w:rPr>
        <w:t>Обʼєм</w:t>
      </w:r>
      <w:proofErr w:type="spellEnd"/>
      <w:r w:rsidR="00C72952" w:rsidRPr="00C72952">
        <w:rPr>
          <w:rFonts w:ascii="Times New Roman" w:eastAsia="Times New Roman" w:hAnsi="Times New Roman" w:cs="Times New Roman"/>
          <w:color w:val="000000" w:themeColor="text1"/>
        </w:rPr>
        <w:t xml:space="preserve"> заповнення приміщення, максимальну</w:t>
      </w:r>
      <w:r w:rsidRPr="00C72952">
        <w:rPr>
          <w:rFonts w:ascii="Times New Roman" w:eastAsia="Times New Roman" w:hAnsi="Times New Roman" w:cs="Times New Roman"/>
          <w:color w:val="000000" w:themeColor="text1"/>
        </w:rPr>
        <w:t xml:space="preserve"> щільність, у яку мо</w:t>
      </w:r>
      <w:r w:rsidR="00C72952" w:rsidRPr="00C72952">
        <w:rPr>
          <w:rFonts w:ascii="Times New Roman" w:eastAsia="Times New Roman" w:hAnsi="Times New Roman" w:cs="Times New Roman"/>
          <w:color w:val="000000" w:themeColor="text1"/>
        </w:rPr>
        <w:t xml:space="preserve">же попадати вогнегасна речовина, </w:t>
      </w:r>
      <w:proofErr w:type="spellStart"/>
      <w:r w:rsidR="00C72952" w:rsidRPr="00C72952">
        <w:rPr>
          <w:rFonts w:ascii="Times New Roman" w:eastAsia="Times New Roman" w:hAnsi="Times New Roman" w:cs="Times New Roman"/>
          <w:color w:val="000000" w:themeColor="text1"/>
        </w:rPr>
        <w:t>о</w:t>
      </w:r>
      <w:r w:rsidRPr="00C72952">
        <w:rPr>
          <w:rFonts w:ascii="Times New Roman" w:eastAsia="Times New Roman" w:hAnsi="Times New Roman" w:cs="Times New Roman"/>
          <w:color w:val="000000" w:themeColor="text1"/>
        </w:rPr>
        <w:t>бʼємної</w:t>
      </w:r>
      <w:proofErr w:type="spellEnd"/>
      <w:r w:rsidRPr="00C72952">
        <w:rPr>
          <w:rFonts w:ascii="Times New Roman" w:eastAsia="Times New Roman" w:hAnsi="Times New Roman" w:cs="Times New Roman"/>
          <w:color w:val="000000" w:themeColor="text1"/>
        </w:rPr>
        <w:t xml:space="preserve"> чи </w:t>
      </w:r>
      <w:proofErr w:type="spellStart"/>
      <w:r w:rsidRPr="00C72952">
        <w:rPr>
          <w:rFonts w:ascii="Times New Roman" w:eastAsia="Times New Roman" w:hAnsi="Times New Roman" w:cs="Times New Roman"/>
          <w:color w:val="000000" w:themeColor="text1"/>
        </w:rPr>
        <w:t>локально-о</w:t>
      </w:r>
      <w:r w:rsidR="00C72952" w:rsidRPr="00C72952">
        <w:rPr>
          <w:rFonts w:ascii="Times New Roman" w:eastAsia="Times New Roman" w:hAnsi="Times New Roman" w:cs="Times New Roman"/>
          <w:color w:val="000000" w:themeColor="text1"/>
        </w:rPr>
        <w:t>бʼємної</w:t>
      </w:r>
      <w:proofErr w:type="spellEnd"/>
      <w:r w:rsidR="00C72952" w:rsidRPr="00C72952">
        <w:rPr>
          <w:rFonts w:ascii="Times New Roman" w:eastAsia="Times New Roman" w:hAnsi="Times New Roman" w:cs="Times New Roman"/>
          <w:color w:val="000000" w:themeColor="text1"/>
        </w:rPr>
        <w:t xml:space="preserve"> дії вогнегасна речовина, у</w:t>
      </w:r>
      <w:r w:rsidRPr="00C72952">
        <w:rPr>
          <w:rFonts w:ascii="Times New Roman" w:eastAsia="Times New Roman" w:hAnsi="Times New Roman" w:cs="Times New Roman"/>
          <w:color w:val="000000" w:themeColor="text1"/>
        </w:rPr>
        <w:t>станов</w:t>
      </w:r>
      <w:r w:rsidR="00C72952" w:rsidRPr="00C72952">
        <w:rPr>
          <w:rFonts w:ascii="Times New Roman" w:eastAsia="Times New Roman" w:hAnsi="Times New Roman" w:cs="Times New Roman"/>
          <w:color w:val="000000" w:themeColor="text1"/>
        </w:rPr>
        <w:t>ки для перевірки цих параметрів, в</w:t>
      </w:r>
      <w:r w:rsidRPr="00C72952">
        <w:rPr>
          <w:rFonts w:ascii="Times New Roman" w:eastAsia="Times New Roman" w:hAnsi="Times New Roman" w:cs="Times New Roman"/>
          <w:color w:val="000000" w:themeColor="text1"/>
        </w:rPr>
        <w:t>ідповідної документацію про ці всі</w:t>
      </w:r>
      <w:r w:rsidR="00C72952" w:rsidRPr="00C72952">
        <w:rPr>
          <w:rFonts w:ascii="Times New Roman" w:eastAsia="Times New Roman" w:hAnsi="Times New Roman" w:cs="Times New Roman"/>
          <w:color w:val="000000" w:themeColor="text1"/>
        </w:rPr>
        <w:t xml:space="preserve"> параметри вогнегасної речовини, в</w:t>
      </w:r>
      <w:r w:rsidR="733C6311" w:rsidRPr="00C72952">
        <w:rPr>
          <w:rFonts w:ascii="Times New Roman" w:eastAsia="Times New Roman" w:hAnsi="Times New Roman" w:cs="Times New Roman"/>
          <w:color w:val="000000" w:themeColor="text1"/>
        </w:rPr>
        <w:t>плив</w:t>
      </w:r>
      <w:r w:rsidRPr="00C72952">
        <w:rPr>
          <w:rFonts w:ascii="Times New Roman" w:eastAsia="Times New Roman" w:hAnsi="Times New Roman" w:cs="Times New Roman"/>
          <w:color w:val="000000" w:themeColor="text1"/>
        </w:rPr>
        <w:t xml:space="preserve"> при </w:t>
      </w:r>
      <w:r w:rsidR="00C72952" w:rsidRPr="00C72952">
        <w:rPr>
          <w:rFonts w:ascii="Times New Roman" w:eastAsia="Times New Roman" w:hAnsi="Times New Roman" w:cs="Times New Roman"/>
          <w:color w:val="000000" w:themeColor="text1"/>
        </w:rPr>
        <w:t xml:space="preserve">потрапляння на електрообладнання  </w:t>
      </w:r>
      <w:r w:rsidR="04EFB875" w:rsidRPr="00C72952">
        <w:rPr>
          <w:rFonts w:ascii="Times New Roman" w:eastAsia="Times New Roman" w:hAnsi="Times New Roman" w:cs="Times New Roman"/>
          <w:color w:val="000000" w:themeColor="text1"/>
        </w:rPr>
        <w:t>[11</w:t>
      </w:r>
      <w:r w:rsidR="00C72952" w:rsidRPr="00C72952">
        <w:rPr>
          <w:rFonts w:ascii="Times New Roman" w:eastAsia="Times New Roman" w:hAnsi="Times New Roman" w:cs="Times New Roman"/>
          <w:color w:val="000000" w:themeColor="text1"/>
        </w:rPr>
        <w:t>-</w:t>
      </w:r>
      <w:r w:rsidR="04EFB875" w:rsidRPr="00C72952">
        <w:rPr>
          <w:rFonts w:ascii="Times New Roman" w:eastAsia="Times New Roman" w:hAnsi="Times New Roman" w:cs="Times New Roman"/>
          <w:color w:val="000000" w:themeColor="text1"/>
        </w:rPr>
        <w:t>13]</w:t>
      </w:r>
      <w:r w:rsidR="00C72952" w:rsidRPr="00C72952">
        <w:rPr>
          <w:rFonts w:ascii="Times New Roman" w:eastAsia="Times New Roman" w:hAnsi="Times New Roman" w:cs="Times New Roman"/>
          <w:color w:val="000000" w:themeColor="text1"/>
        </w:rPr>
        <w:t>.</w:t>
      </w:r>
    </w:p>
    <w:p w14:paraId="1227FD9A" w14:textId="003B8881" w:rsidR="00114B5C" w:rsidRPr="00C72952" w:rsidRDefault="3430C036" w:rsidP="3430C036">
      <w:pPr>
        <w:spacing w:before="240" w:after="240" w:line="360" w:lineRule="auto"/>
        <w:ind w:firstLine="567"/>
        <w:contextualSpacing/>
        <w:jc w:val="both"/>
        <w:rPr>
          <w:rFonts w:ascii="Times New Roman" w:eastAsia="Times New Roman" w:hAnsi="Times New Roman" w:cs="Times New Roman"/>
          <w:lang w:val="ru-RU"/>
        </w:rPr>
      </w:pPr>
      <w:r w:rsidRPr="00C72952">
        <w:rPr>
          <w:rFonts w:ascii="Times New Roman" w:eastAsia="Times New Roman" w:hAnsi="Times New Roman" w:cs="Times New Roman"/>
          <w:color w:val="000000" w:themeColor="text1"/>
        </w:rPr>
        <w:t>При цьому автори статт</w:t>
      </w:r>
      <w:r w:rsidR="4D22738F" w:rsidRPr="00C72952">
        <w:rPr>
          <w:rFonts w:ascii="Times New Roman" w:eastAsia="Times New Roman" w:hAnsi="Times New Roman" w:cs="Times New Roman"/>
          <w:color w:val="000000" w:themeColor="text1"/>
        </w:rPr>
        <w:t xml:space="preserve">ей </w:t>
      </w:r>
      <w:r w:rsidRPr="00C72952">
        <w:rPr>
          <w:rFonts w:ascii="Times New Roman" w:eastAsia="Times New Roman" w:hAnsi="Times New Roman" w:cs="Times New Roman"/>
          <w:color w:val="000000" w:themeColor="text1"/>
        </w:rPr>
        <w:t xml:space="preserve">розглядають питання розповсюдження аерозолю </w:t>
      </w:r>
      <w:r w:rsidRPr="00C72952">
        <w:rPr>
          <w:rFonts w:ascii="Times New Roman" w:eastAsia="Times New Roman" w:hAnsi="Times New Roman" w:cs="Times New Roman"/>
          <w:color w:val="000000" w:themeColor="text1"/>
          <w:lang w:val="ru-RU"/>
        </w:rPr>
        <w:t xml:space="preserve">(твердих частинок + газова фаза) у закритому приміщенні після його активації, і ці ключові величини:  </w:t>
      </w:r>
      <w:r w:rsidRPr="00C72952">
        <w:rPr>
          <w:rFonts w:ascii="Times New Roman" w:eastAsia="Times New Roman" w:hAnsi="Times New Roman" w:cs="Times New Roman"/>
          <w:lang w:val="ru-RU"/>
        </w:rPr>
        <w:t xml:space="preserve">Однорідний час дифузії — час, за який концентрація аерозолю стає практично однорідною по всьому приміщенню. Ефективна концентрація — концентрація аерозолю, достатня </w:t>
      </w:r>
      <w:proofErr w:type="gramStart"/>
      <w:r w:rsidRPr="00C72952">
        <w:rPr>
          <w:rFonts w:ascii="Times New Roman" w:eastAsia="Times New Roman" w:hAnsi="Times New Roman" w:cs="Times New Roman"/>
          <w:lang w:val="ru-RU"/>
        </w:rPr>
        <w:t>для</w:t>
      </w:r>
      <w:proofErr w:type="gramEnd"/>
      <w:r w:rsidRPr="00C72952">
        <w:rPr>
          <w:rFonts w:ascii="Times New Roman" w:eastAsia="Times New Roman" w:hAnsi="Times New Roman" w:cs="Times New Roman"/>
          <w:lang w:val="ru-RU"/>
        </w:rPr>
        <w:t xml:space="preserve"> гасіння пожежі в даному об’ємі. Взаємозв’язок між коефіцієнтом дифузії, часом дифузії і концентраційною динамікою.</w:t>
      </w:r>
    </w:p>
    <w:p w14:paraId="3D9CABB4" w14:textId="4E1B943E" w:rsidR="00114B5C" w:rsidRPr="00C72952" w:rsidRDefault="3430C036">
      <w:pPr>
        <w:spacing w:before="240" w:after="240" w:line="360" w:lineRule="auto"/>
        <w:ind w:firstLine="567"/>
        <w:contextualSpacing/>
        <w:jc w:val="both"/>
        <w:rPr>
          <w:rFonts w:ascii="Times New Roman" w:eastAsia="Times New Roman" w:hAnsi="Times New Roman" w:cs="Times New Roman"/>
          <w:color w:val="000000" w:themeColor="text1"/>
          <w:lang w:val="ru-RU"/>
        </w:rPr>
      </w:pPr>
      <w:proofErr w:type="gramStart"/>
      <w:r w:rsidRPr="00C72952">
        <w:rPr>
          <w:rFonts w:ascii="Times New Roman" w:eastAsia="Times New Roman" w:hAnsi="Times New Roman" w:cs="Times New Roman"/>
          <w:color w:val="000000" w:themeColor="text1"/>
          <w:lang w:val="ru-RU"/>
        </w:rPr>
        <w:t>П</w:t>
      </w:r>
      <w:proofErr w:type="gramEnd"/>
      <w:r w:rsidRPr="00C72952">
        <w:rPr>
          <w:rFonts w:ascii="Times New Roman" w:eastAsia="Times New Roman" w:hAnsi="Times New Roman" w:cs="Times New Roman"/>
          <w:color w:val="000000" w:themeColor="text1"/>
          <w:lang w:val="ru-RU"/>
        </w:rPr>
        <w:t>ісля запуску генератора аерозолю якийсь час частинки дифузують (розсіюються) по об'єму приміщення, поки концентрація не стане відносно рівномірною. Цей проміжок часу і є «час заповнення» чи «однорідного розподілу». При цьому жоден автор не згадував про заповнення повного обʼєму приміщення з усіма перегордками та щілинами та виходячи з цього визначати чи це аерозоль обʼємного гасіння чи локально-обʼємного.</w:t>
      </w:r>
      <w:r w:rsidR="26D5CEA2" w:rsidRPr="00C72952">
        <w:rPr>
          <w:rFonts w:ascii="Times New Roman" w:eastAsia="Times New Roman" w:hAnsi="Times New Roman" w:cs="Times New Roman"/>
          <w:color w:val="000000" w:themeColor="text1"/>
          <w:lang w:val="ru-RU"/>
        </w:rPr>
        <w:t>[13]</w:t>
      </w:r>
    </w:p>
    <w:p w14:paraId="58C8FB8D" w14:textId="61E9DEB8" w:rsidR="00114B5C" w:rsidRPr="00C72952" w:rsidRDefault="3430C036">
      <w:pPr>
        <w:spacing w:after="0" w:line="360" w:lineRule="auto"/>
        <w:ind w:firstLine="567"/>
        <w:contextualSpacing/>
        <w:jc w:val="both"/>
        <w:rPr>
          <w:rFonts w:ascii="Times New Roman" w:eastAsia="Times New Roman" w:hAnsi="Times New Roman" w:cs="Times New Roman"/>
          <w:color w:val="000000" w:themeColor="text1"/>
          <w:lang w:val="ru-RU"/>
        </w:rPr>
      </w:pPr>
      <w:r w:rsidRPr="00C72952">
        <w:rPr>
          <w:rFonts w:ascii="Times New Roman" w:eastAsia="Times New Roman" w:hAnsi="Times New Roman" w:cs="Times New Roman"/>
          <w:color w:val="000000" w:themeColor="text1"/>
          <w:lang w:val="ru-RU"/>
        </w:rPr>
        <w:t>Щодо вогнегасних порошків вогнегасна ефективність всіх вогнегасних порошків збільшується із зростанням ступеня дисперсності.</w:t>
      </w:r>
      <w:r w:rsidR="68A8C945" w:rsidRPr="00C72952">
        <w:rPr>
          <w:rFonts w:ascii="Times New Roman" w:eastAsia="Times New Roman" w:hAnsi="Times New Roman" w:cs="Times New Roman"/>
          <w:color w:val="000000" w:themeColor="text1"/>
          <w:lang w:val="ru-RU"/>
        </w:rPr>
        <w:t>[4]</w:t>
      </w:r>
      <w:r w:rsidRPr="00C72952">
        <w:rPr>
          <w:rFonts w:ascii="Times New Roman" w:eastAsia="Times New Roman" w:hAnsi="Times New Roman" w:cs="Times New Roman"/>
          <w:color w:val="000000" w:themeColor="text1"/>
          <w:lang w:val="ru-RU"/>
        </w:rPr>
        <w:t xml:space="preserve"> Таким чином при гасінні високодисперсними порошками кількість ефективних взаємодій молекул і радикалів </w:t>
      </w:r>
      <w:proofErr w:type="gramStart"/>
      <w:r w:rsidRPr="00C72952">
        <w:rPr>
          <w:rFonts w:ascii="Times New Roman" w:eastAsia="Times New Roman" w:hAnsi="Times New Roman" w:cs="Times New Roman"/>
          <w:color w:val="000000" w:themeColor="text1"/>
          <w:lang w:val="ru-RU"/>
        </w:rPr>
        <w:t>в</w:t>
      </w:r>
      <w:proofErr w:type="gramEnd"/>
      <w:r w:rsidRPr="00C72952">
        <w:rPr>
          <w:rFonts w:ascii="Times New Roman" w:eastAsia="Times New Roman" w:hAnsi="Times New Roman" w:cs="Times New Roman"/>
          <w:color w:val="000000" w:themeColor="text1"/>
          <w:lang w:val="ru-RU"/>
        </w:rPr>
        <w:t xml:space="preserve"> зоні хімічної реакції горіння буде значно меншою, бо число нейтральних частинок високодисперсного порошку в 1см</w:t>
      </w:r>
      <w:r w:rsidRPr="00C72952">
        <w:rPr>
          <w:rFonts w:ascii="Times New Roman" w:eastAsia="Times New Roman" w:hAnsi="Times New Roman" w:cs="Times New Roman"/>
          <w:color w:val="000000" w:themeColor="text1"/>
          <w:vertAlign w:val="superscript"/>
          <w:lang w:val="ru-RU"/>
        </w:rPr>
        <w:t>3</w:t>
      </w:r>
      <w:r w:rsidRPr="00C72952">
        <w:rPr>
          <w:rFonts w:ascii="Times New Roman" w:eastAsia="Times New Roman" w:hAnsi="Times New Roman" w:cs="Times New Roman"/>
          <w:color w:val="000000" w:themeColor="text1"/>
          <w:lang w:val="ru-RU"/>
        </w:rPr>
        <w:t xml:space="preserve"> співмірне з </w:t>
      </w:r>
      <w:proofErr w:type="gramStart"/>
      <w:r w:rsidRPr="00C72952">
        <w:rPr>
          <w:rFonts w:ascii="Times New Roman" w:eastAsia="Times New Roman" w:hAnsi="Times New Roman" w:cs="Times New Roman"/>
          <w:color w:val="000000" w:themeColor="text1"/>
          <w:lang w:val="ru-RU"/>
        </w:rPr>
        <w:t>числом активних радикалів. Загальновідомо, що обрив ланцюгових реакцій здійснюється як на твердій поверхні, тобто від кожного активного центра тягнеться ланцюг до твердої поверхні, а отже, чим ближче активний центр до твердої поверхні, тим коротший ланцюг, що забезпечує високу ймовірність обриву ланцюга, отже, і висока імовірність зниження швидкості горіння аж</w:t>
      </w:r>
      <w:proofErr w:type="gramEnd"/>
      <w:r w:rsidRPr="00C72952">
        <w:rPr>
          <w:rFonts w:ascii="Times New Roman" w:eastAsia="Times New Roman" w:hAnsi="Times New Roman" w:cs="Times New Roman"/>
          <w:color w:val="000000" w:themeColor="text1"/>
          <w:lang w:val="ru-RU"/>
        </w:rPr>
        <w:t xml:space="preserve"> до його повного припинення.</w:t>
      </w:r>
      <w:r w:rsidR="5C4D4F67" w:rsidRPr="00C72952">
        <w:rPr>
          <w:rFonts w:ascii="Times New Roman" w:eastAsia="Times New Roman" w:hAnsi="Times New Roman" w:cs="Times New Roman"/>
          <w:color w:val="000000" w:themeColor="text1"/>
          <w:lang w:val="ru-RU"/>
        </w:rPr>
        <w:t>[14]</w:t>
      </w:r>
      <w:r w:rsidRPr="00C72952">
        <w:rPr>
          <w:rFonts w:ascii="Times New Roman" w:eastAsia="Times New Roman" w:hAnsi="Times New Roman" w:cs="Times New Roman"/>
          <w:color w:val="000000" w:themeColor="text1"/>
          <w:lang w:val="ru-RU"/>
        </w:rPr>
        <w:t xml:space="preserve"> Чим </w:t>
      </w:r>
      <w:proofErr w:type="gramStart"/>
      <w:r w:rsidRPr="00C72952">
        <w:rPr>
          <w:rFonts w:ascii="Times New Roman" w:eastAsia="Times New Roman" w:hAnsi="Times New Roman" w:cs="Times New Roman"/>
          <w:color w:val="000000" w:themeColor="text1"/>
          <w:lang w:val="ru-RU"/>
        </w:rPr>
        <w:t>др</w:t>
      </w:r>
      <w:proofErr w:type="gramEnd"/>
      <w:r w:rsidRPr="00C72952">
        <w:rPr>
          <w:rFonts w:ascii="Times New Roman" w:eastAsia="Times New Roman" w:hAnsi="Times New Roman" w:cs="Times New Roman"/>
          <w:color w:val="000000" w:themeColor="text1"/>
          <w:lang w:val="ru-RU"/>
        </w:rPr>
        <w:t xml:space="preserve">ібніші частинки, тим швидше вони будуть прогріватись і тим більше будуть відбирати тепло від зони хімічної реакції за </w:t>
      </w:r>
      <w:r w:rsidRPr="00C72952">
        <w:rPr>
          <w:rFonts w:ascii="Times New Roman" w:eastAsia="Times New Roman" w:hAnsi="Times New Roman" w:cs="Times New Roman"/>
          <w:color w:val="000000" w:themeColor="text1"/>
          <w:lang w:val="ru-RU"/>
        </w:rPr>
        <w:lastRenderedPageBreak/>
        <w:t>одиницю часу і тим швидше буде охолоджуватись полум’я. Проте розбавлення зони горіння і відвід тепла частинками пилу є недостатнім для того, щоб повністю припинити горіння.</w:t>
      </w:r>
      <w:r w:rsidR="408DFA6F" w:rsidRPr="00C72952">
        <w:rPr>
          <w:rFonts w:ascii="Times New Roman" w:eastAsia="Times New Roman" w:hAnsi="Times New Roman" w:cs="Times New Roman"/>
          <w:color w:val="000000" w:themeColor="text1"/>
          <w:lang w:val="ru-RU"/>
        </w:rPr>
        <w:t>[</w:t>
      </w:r>
      <w:proofErr w:type="gramStart"/>
      <w:r w:rsidR="408DFA6F" w:rsidRPr="00C72952">
        <w:rPr>
          <w:rFonts w:ascii="Times New Roman" w:eastAsia="Times New Roman" w:hAnsi="Times New Roman" w:cs="Times New Roman"/>
          <w:color w:val="000000" w:themeColor="text1"/>
          <w:lang w:val="ru-RU"/>
        </w:rPr>
        <w:t>15]</w:t>
      </w:r>
      <w:r w:rsidRPr="00C72952">
        <w:rPr>
          <w:rFonts w:ascii="Times New Roman" w:eastAsia="Times New Roman" w:hAnsi="Times New Roman" w:cs="Times New Roman"/>
          <w:color w:val="000000" w:themeColor="text1"/>
          <w:lang w:val="ru-RU"/>
        </w:rPr>
        <w:t xml:space="preserve"> Так, вогнегасний ефект порошків, завдяки інгібуванню, на основі солей лужних металів значно перевищує ефект охолодження або розбавлення.</w:t>
      </w:r>
      <w:r w:rsidR="55099C75" w:rsidRPr="00C72952">
        <w:rPr>
          <w:rFonts w:ascii="Times New Roman" w:eastAsia="Times New Roman" w:hAnsi="Times New Roman" w:cs="Times New Roman"/>
          <w:color w:val="000000" w:themeColor="text1"/>
          <w:lang w:val="ru-RU"/>
        </w:rPr>
        <w:t>[14]</w:t>
      </w:r>
      <w:r w:rsidRPr="00C72952">
        <w:rPr>
          <w:rFonts w:ascii="Times New Roman" w:eastAsia="Times New Roman" w:hAnsi="Times New Roman" w:cs="Times New Roman"/>
          <w:color w:val="000000" w:themeColor="text1"/>
          <w:lang w:val="ru-RU"/>
        </w:rPr>
        <w:t xml:space="preserve"> Тобто порошки здатні гальмувати хімічні реакції горіння, діючи як інгібітори.</w:t>
      </w:r>
      <w:proofErr w:type="gramEnd"/>
      <w:r w:rsidRPr="00C72952">
        <w:rPr>
          <w:rFonts w:ascii="Times New Roman" w:eastAsia="Times New Roman" w:hAnsi="Times New Roman" w:cs="Times New Roman"/>
          <w:color w:val="000000" w:themeColor="text1"/>
          <w:lang w:val="ru-RU"/>
        </w:rPr>
        <w:t xml:space="preserve"> Проте щодо порошкі</w:t>
      </w:r>
      <w:proofErr w:type="gramStart"/>
      <w:r w:rsidRPr="00C72952">
        <w:rPr>
          <w:rFonts w:ascii="Times New Roman" w:eastAsia="Times New Roman" w:hAnsi="Times New Roman" w:cs="Times New Roman"/>
          <w:color w:val="000000" w:themeColor="text1"/>
          <w:lang w:val="ru-RU"/>
        </w:rPr>
        <w:t>в</w:t>
      </w:r>
      <w:proofErr w:type="gramEnd"/>
      <w:r w:rsidRPr="00C72952">
        <w:rPr>
          <w:rFonts w:ascii="Times New Roman" w:eastAsia="Times New Roman" w:hAnsi="Times New Roman" w:cs="Times New Roman"/>
          <w:color w:val="000000" w:themeColor="text1"/>
          <w:lang w:val="ru-RU"/>
        </w:rPr>
        <w:t xml:space="preserve"> так як і щодо аерозоль ніде не вказано про їхню обʼємну дію чи обʼємно-локальну дію. </w:t>
      </w:r>
    </w:p>
    <w:p w14:paraId="6A6D38C7" w14:textId="2E04544E" w:rsidR="00114B5C" w:rsidRPr="00C72952" w:rsidRDefault="3430C036">
      <w:pPr>
        <w:spacing w:before="240" w:after="240" w:line="360" w:lineRule="auto"/>
        <w:ind w:firstLine="567"/>
        <w:contextualSpacing/>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Ця проблема є актуальною через відсутність нормативних документів та випробувальних методик, які б окреслювали вимоги і визначали технічні та експлуатаційні характеристики зазначених аерозольних та порошкових засобів пожежогасіння</w:t>
      </w:r>
      <w:r w:rsidR="7E88673E" w:rsidRPr="00C72952">
        <w:rPr>
          <w:rFonts w:ascii="Times New Roman" w:eastAsia="Times New Roman" w:hAnsi="Times New Roman" w:cs="Times New Roman"/>
          <w:color w:val="000000" w:themeColor="text1"/>
        </w:rPr>
        <w:t>[17]</w:t>
      </w:r>
      <w:r w:rsidRPr="00C72952">
        <w:rPr>
          <w:rFonts w:ascii="Times New Roman" w:eastAsia="Times New Roman" w:hAnsi="Times New Roman" w:cs="Times New Roman"/>
          <w:color w:val="000000" w:themeColor="text1"/>
        </w:rPr>
        <w:t xml:space="preserve"> відповідно до їх складу, вогнегасної ефективності та ін. Встановлено, що саме лиш ухвалення відповідних нормативних документів не вирішить усіх проблем технічного регулювання у сфері пожежної безпеки та під час виготовлення продукції протипожежного  призначення, адже ці проблеми пов’язані з вузьким спрямуванням вітчизняних нормативних документів, а також з відсутністю належного фінансування робіт з розроблення національних стандартів під відповідні технічні регламенти та методики, а також недостатнім оснащенням, сучасним випробувальним устаткуванням випробувальних лабораторій. Щодо питання </w:t>
      </w:r>
      <w:r w:rsidRPr="00C72952">
        <w:rPr>
          <w:rFonts w:ascii="Times New Roman" w:eastAsia="Times New Roman" w:hAnsi="Times New Roman" w:cs="Times New Roman"/>
        </w:rPr>
        <w:t>ш</w:t>
      </w:r>
      <w:r w:rsidRPr="00C72952">
        <w:rPr>
          <w:rFonts w:ascii="Times New Roman" w:eastAsia="Times New Roman" w:hAnsi="Times New Roman" w:cs="Times New Roman"/>
          <w:iCs/>
        </w:rPr>
        <w:t>ляхів вирішення проблем нормативно технічних рішень в галузі випробувань аерозольними, порошковими та газовими вогнегасними речовинами то необхідно зазначити, що р</w:t>
      </w:r>
      <w:r w:rsidRPr="00C72952">
        <w:rPr>
          <w:rFonts w:ascii="Times New Roman" w:eastAsia="Times New Roman" w:hAnsi="Times New Roman" w:cs="Times New Roman"/>
        </w:rPr>
        <w:t>озвиток</w:t>
      </w:r>
      <w:r w:rsidRPr="00C72952">
        <w:rPr>
          <w:rFonts w:ascii="Times New Roman" w:eastAsia="Times New Roman" w:hAnsi="Times New Roman" w:cs="Times New Roman"/>
          <w:color w:val="92D050"/>
        </w:rPr>
        <w:t xml:space="preserve"> </w:t>
      </w:r>
      <w:r w:rsidRPr="00C72952">
        <w:rPr>
          <w:rFonts w:ascii="Times New Roman" w:eastAsia="Times New Roman" w:hAnsi="Times New Roman" w:cs="Times New Roman"/>
          <w:color w:val="000000" w:themeColor="text1"/>
        </w:rPr>
        <w:t>систем об’ємного пожежогасіння на основі зазначених речовин (аерозольних та порошкових) потребує удосконалення нормативно-технічної бази, яка сьогодні залишається фрагментарною та недостатньо узгодженою з міжнародними вимогами. Для подолання цих недоліків необхідно реалізувати комплекс нормативно-технічних та науково-практичних рішень, спрямованих на підвищення достовірності результатів випробувань і забезпечення єдиного підходу до оцінювання ефективності дисперсних вогнегасних речовин. Щодо вирішення та влагодження цього питання є необхідність розроблення національного стандарту, що визначатиме методи випробування систем об’ємного  пожежогасіння з урахуванням геометрії приміщень, швидкості дифузії вогнегасної речовини в об’ємі та часу утримання ефективної концентрації.</w:t>
      </w:r>
      <w:r w:rsidR="15DFB0EE" w:rsidRPr="00C72952">
        <w:rPr>
          <w:rFonts w:ascii="Times New Roman" w:eastAsia="Times New Roman" w:hAnsi="Times New Roman" w:cs="Times New Roman"/>
          <w:color w:val="000000" w:themeColor="text1"/>
        </w:rPr>
        <w:t>[17]</w:t>
      </w:r>
      <w:r w:rsidRPr="00C72952">
        <w:rPr>
          <w:rFonts w:ascii="Times New Roman" w:eastAsia="Times New Roman" w:hAnsi="Times New Roman" w:cs="Times New Roman"/>
          <w:color w:val="000000" w:themeColor="text1"/>
        </w:rPr>
        <w:t xml:space="preserve"> Таким чином пропонуємо ввести вимоги щодо обов’язкового визначення типу дії речовини — локальної, локально-об’ємної чи об’ємної — під час сертифікаційних випробувань. Доцільно також створення випробувально-дослідних баз для перевірки ефективності аерозольних і порошкових систем у приміщеннях різного об’єму, конфігурації та типу </w:t>
      </w:r>
      <w:r w:rsidRPr="00C72952">
        <w:rPr>
          <w:rFonts w:ascii="Times New Roman" w:eastAsia="Times New Roman" w:hAnsi="Times New Roman" w:cs="Times New Roman"/>
          <w:color w:val="000000" w:themeColor="text1"/>
        </w:rPr>
        <w:lastRenderedPageBreak/>
        <w:t xml:space="preserve">пожежного навантаження. </w:t>
      </w:r>
      <w:r w:rsidRPr="00C72952">
        <w:rPr>
          <w:rFonts w:ascii="Times New Roman" w:eastAsia="Times New Roman" w:hAnsi="Times New Roman" w:cs="Times New Roman"/>
        </w:rPr>
        <w:t xml:space="preserve">Щодо випробувально-дослідної бази, то вона повинна бути </w:t>
      </w:r>
      <w:r w:rsidRPr="00C72952">
        <w:rPr>
          <w:rFonts w:ascii="Times New Roman" w:eastAsia="Times New Roman" w:hAnsi="Times New Roman" w:cs="Times New Roman"/>
          <w:color w:val="000000" w:themeColor="text1"/>
        </w:rPr>
        <w:t>призначена для моделювання пожеж у закритих приміщеннях об’ємом до 100 м³, це дозволить досліджувати розподіл аерозолю чи порошку, концентрацію вогнегасної речовини та час її утримання. Можна зазначити, що установка повинна складатися з секційних металевих контейнерів, або модулів, які можна комбінувати для імітації приміщень різної конфігурації (з перегородками, шахтами, кабельними каналами). Забезпечувати вимірювання температури, тиску, швидкості осідання частинок, електропровідності, а також оцінку впливу вогнегасних речовин на електрообладнання та матеріали. Таким чином буде можливо визначити : відповідність дисперсних вогнегасних речовин нормативним вимогам; визначення типу запропонованої  дії (локальна, локально-об’ємна чи об’ємна); дослідження рівномірності заповнення приміщення та стійкості концентрації у часі; оцінка впливу вогнегасної речовини на електрообладнання, ізоляційні матеріали та оптичну видимість у приміщенні.</w:t>
      </w:r>
    </w:p>
    <w:p w14:paraId="1E652A28" w14:textId="1F23A178" w:rsidR="00114B5C" w:rsidRPr="00C72952" w:rsidRDefault="00114B5C" w:rsidP="3430C036">
      <w:pPr>
        <w:spacing w:after="0" w:line="360" w:lineRule="auto"/>
        <w:ind w:firstLine="567"/>
        <w:jc w:val="both"/>
        <w:rPr>
          <w:rFonts w:ascii="Times New Roman" w:eastAsia="Times New Roman" w:hAnsi="Times New Roman" w:cs="Times New Roman"/>
          <w:color w:val="000000" w:themeColor="text1"/>
        </w:rPr>
      </w:pPr>
    </w:p>
    <w:p w14:paraId="7478F873" w14:textId="5ECF9266" w:rsidR="3430C036" w:rsidRPr="00C72952" w:rsidRDefault="3430C036" w:rsidP="3430C036">
      <w:pPr>
        <w:spacing w:after="0" w:line="360" w:lineRule="auto"/>
        <w:ind w:firstLine="567"/>
        <w:jc w:val="both"/>
        <w:rPr>
          <w:rFonts w:ascii="Times New Roman" w:eastAsia="Times New Roman" w:hAnsi="Times New Roman" w:cs="Times New Roman"/>
          <w:b/>
          <w:bCs/>
          <w:color w:val="000000" w:themeColor="text1"/>
        </w:rPr>
      </w:pPr>
    </w:p>
    <w:p w14:paraId="108A922E" w14:textId="10E49E10" w:rsidR="00114B5C" w:rsidRPr="00C72952" w:rsidRDefault="3430C036" w:rsidP="00C72952">
      <w:pPr>
        <w:spacing w:after="0" w:line="360" w:lineRule="auto"/>
        <w:ind w:firstLine="567"/>
        <w:jc w:val="center"/>
        <w:rPr>
          <w:rFonts w:ascii="Times New Roman" w:eastAsia="Times New Roman" w:hAnsi="Times New Roman" w:cs="Times New Roman"/>
          <w:b/>
          <w:bCs/>
          <w:color w:val="000000" w:themeColor="text1"/>
        </w:rPr>
      </w:pPr>
      <w:r w:rsidRPr="00C72952">
        <w:rPr>
          <w:rFonts w:ascii="Times New Roman" w:eastAsia="Times New Roman" w:hAnsi="Times New Roman" w:cs="Times New Roman"/>
          <w:b/>
          <w:bCs/>
          <w:color w:val="000000" w:themeColor="text1"/>
        </w:rPr>
        <w:t>Висновок</w:t>
      </w:r>
    </w:p>
    <w:p w14:paraId="03591049" w14:textId="5B270683" w:rsidR="00114B5C" w:rsidRPr="00C72952" w:rsidRDefault="3430C036" w:rsidP="3430C036">
      <w:pPr>
        <w:spacing w:after="0" w:line="360" w:lineRule="auto"/>
        <w:ind w:firstLine="567"/>
        <w:jc w:val="both"/>
      </w:pPr>
      <w:r w:rsidRPr="00C72952">
        <w:rPr>
          <w:rFonts w:ascii="Times New Roman" w:eastAsia="Times New Roman" w:hAnsi="Times New Roman" w:cs="Times New Roman"/>
          <w:color w:val="000000" w:themeColor="text1"/>
        </w:rPr>
        <w:t>У результаті проведеного аналізу встановлено, що нормативно-технічна база щодо випробувань аерозольних і порошкових вогнегасних речовин потребує суттєвого вдосконалення. Існуючі стандарти не враховують реальних умов поширення вогнегасних речовин у приміщеннях із різною конфігурацією, що знижує достовірність оцінки їх вогнегасної ефективності. Доцільно запровадження в нормативно - технічних документах, визначення типу запропонованої  дії (локальна, локально-об’ємна чи об’ємна)</w:t>
      </w:r>
      <w:r w:rsidR="3163D6A7" w:rsidRPr="00C72952">
        <w:rPr>
          <w:rFonts w:ascii="Times New Roman" w:eastAsia="Times New Roman" w:hAnsi="Times New Roman" w:cs="Times New Roman"/>
          <w:color w:val="000000" w:themeColor="text1"/>
        </w:rPr>
        <w:t>.</w:t>
      </w:r>
    </w:p>
    <w:p w14:paraId="4EDE4E98" w14:textId="77777777" w:rsidR="00114B5C" w:rsidRPr="00C72952" w:rsidRDefault="00114B5C" w:rsidP="3430C036">
      <w:pPr>
        <w:spacing w:after="0" w:line="360" w:lineRule="auto"/>
        <w:ind w:firstLine="567"/>
        <w:jc w:val="both"/>
        <w:rPr>
          <w:rFonts w:ascii="Times New Roman" w:eastAsia="Times New Roman" w:hAnsi="Times New Roman" w:cs="Times New Roman"/>
          <w:color w:val="000000" w:themeColor="text1"/>
        </w:rPr>
      </w:pPr>
    </w:p>
    <w:p w14:paraId="6DFEF6E2" w14:textId="6A3E6C34" w:rsidR="00114B5C" w:rsidRPr="00C72952" w:rsidRDefault="3163D6A7" w:rsidP="00023C5F">
      <w:pPr>
        <w:spacing w:after="0" w:line="240" w:lineRule="auto"/>
        <w:jc w:val="center"/>
        <w:rPr>
          <w:rFonts w:ascii="Times New Roman" w:eastAsia="Times New Roman" w:hAnsi="Times New Roman" w:cs="Times New Roman"/>
        </w:rPr>
      </w:pPr>
      <w:r w:rsidRPr="00C72952">
        <w:rPr>
          <w:rFonts w:ascii="Times New Roman" w:eastAsia="Times New Roman" w:hAnsi="Times New Roman" w:cs="Times New Roman"/>
          <w:color w:val="000000" w:themeColor="text1"/>
        </w:rPr>
        <w:t>Перелік</w:t>
      </w:r>
      <w:r w:rsidR="3430C036" w:rsidRPr="00C72952">
        <w:rPr>
          <w:rFonts w:ascii="Times New Roman" w:eastAsia="Times New Roman" w:hAnsi="Times New Roman" w:cs="Times New Roman"/>
          <w:color w:val="000000" w:themeColor="text1"/>
        </w:rPr>
        <w:t xml:space="preserve"> </w:t>
      </w:r>
      <w:r w:rsidR="6E195C3C" w:rsidRPr="00C72952">
        <w:rPr>
          <w:rFonts w:ascii="Times New Roman" w:eastAsia="Times New Roman" w:hAnsi="Times New Roman" w:cs="Times New Roman"/>
          <w:color w:val="000000" w:themeColor="text1"/>
        </w:rPr>
        <w:t>посилань</w:t>
      </w:r>
      <w:r w:rsidR="3430C036" w:rsidRPr="00C72952">
        <w:rPr>
          <w:rFonts w:ascii="Times New Roman" w:eastAsia="Times New Roman" w:hAnsi="Times New Roman" w:cs="Times New Roman"/>
          <w:color w:val="000000" w:themeColor="text1"/>
        </w:rPr>
        <w:t>:</w:t>
      </w:r>
    </w:p>
    <w:p w14:paraId="45C83434" w14:textId="6A27E3C4"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Аналітична довідка про пожежі та їх наслідки в Україні. </w:t>
      </w:r>
      <w:r w:rsidR="002127EC" w:rsidRPr="00C72952">
        <w:fldChar w:fldCharType="begin"/>
      </w:r>
      <w:r w:rsidR="002127EC" w:rsidRPr="00C72952">
        <w:instrText xml:space="preserve"> HYPERLINK "https://idundcz.dsns.gov.ua/statistika-pozhezh/analitichni-materiali" \h </w:instrText>
      </w:r>
      <w:r w:rsidR="002127EC" w:rsidRPr="00C72952">
        <w:fldChar w:fldCharType="separate"/>
      </w:r>
      <w:r w:rsidRPr="00C72952">
        <w:rPr>
          <w:rStyle w:val="a4"/>
          <w:rFonts w:ascii="Times New Roman" w:eastAsia="Times New Roman" w:hAnsi="Times New Roman" w:cs="Times New Roman"/>
          <w:color w:val="000000" w:themeColor="text1"/>
        </w:rPr>
        <w:t>https://idundcz.dsns.gov.ua/statistika-pozhezh/analitichni-materiali</w:t>
      </w:r>
      <w:r w:rsidR="002127EC" w:rsidRPr="00C72952">
        <w:rPr>
          <w:rStyle w:val="a4"/>
          <w:rFonts w:ascii="Times New Roman" w:eastAsia="Times New Roman" w:hAnsi="Times New Roman" w:cs="Times New Roman"/>
          <w:color w:val="000000" w:themeColor="text1"/>
        </w:rPr>
        <w:fldChar w:fldCharType="end"/>
      </w:r>
    </w:p>
    <w:p w14:paraId="5F79846C" w14:textId="3B5A85E1"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Х. Чжан, М.Х.С. Ісмаїл, Ф.Р.Б. Ахмадун та ін., Браз. Дж. Хім. Інгл. 32, 707–724 (2015). </w:t>
      </w:r>
      <w:r w:rsidR="002127EC" w:rsidRPr="00C72952">
        <w:fldChar w:fldCharType="begin"/>
      </w:r>
      <w:r w:rsidR="002127EC" w:rsidRPr="00C72952">
        <w:instrText xml:space="preserve"> HYPERLINK </w:instrText>
      </w:r>
      <w:r w:rsidR="002127EC" w:rsidRPr="00C72952">
        <w:instrText xml:space="preserve">"https://doi.org/10.1590/0104-6632.20150323s00003510" \h </w:instrText>
      </w:r>
      <w:r w:rsidR="002127EC" w:rsidRPr="00C72952">
        <w:fldChar w:fldCharType="separate"/>
      </w:r>
      <w:r w:rsidRPr="00C72952">
        <w:rPr>
          <w:rStyle w:val="a4"/>
          <w:rFonts w:ascii="Times New Roman" w:eastAsia="Times New Roman" w:hAnsi="Times New Roman" w:cs="Times New Roman"/>
          <w:color w:val="000000" w:themeColor="text1"/>
        </w:rPr>
        <w:t>https://doi.org/10.1590/0104-6632.20150323s00003510</w:t>
      </w:r>
      <w:r w:rsidR="002127EC" w:rsidRPr="00C72952">
        <w:rPr>
          <w:rStyle w:val="a4"/>
          <w:rFonts w:ascii="Times New Roman" w:eastAsia="Times New Roman" w:hAnsi="Times New Roman" w:cs="Times New Roman"/>
          <w:color w:val="000000" w:themeColor="text1"/>
        </w:rPr>
        <w:fldChar w:fldCharType="end"/>
      </w:r>
    </w:p>
    <w:p w14:paraId="6BEA9CA4" w14:textId="03CD50F0"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ДСТУ EN 15276-1:2021. «Стаціонарні системи пожежогасіння. Системи аерозольного пожежогасіння. Частина 1. Вимоги до компонентів і методи їх випробувань»</w:t>
      </w:r>
    </w:p>
    <w:p w14:paraId="1D9C03C4" w14:textId="2DE9F080"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lastRenderedPageBreak/>
        <w:t>ДСТУ EN 15276-2:2022. «Стаціонарні системи пожежогасіння. Системи аерозольного пожежогасіння. Частина 2: Проєктування, монтаж і технічне обслуговування»</w:t>
      </w:r>
    </w:p>
    <w:p w14:paraId="7D75FDAD" w14:textId="7D02916B"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ДСТУ 4490-2005. «Установки автоматичного аерозольного пожежогасіння. Загальні технічні вимоги»</w:t>
      </w:r>
    </w:p>
    <w:p w14:paraId="1041BC69" w14:textId="02EAA77E"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ДБН В.2.5-56:2014 «Системи протипожежного захисту»</w:t>
      </w:r>
    </w:p>
    <w:p w14:paraId="196C4458" w14:textId="5EE1C186"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ДСТУ EN 12416-1:2015 «Стаціонарні системи порошкового пожежогасіння. Частина 1. Вимоги до компонентів і методи випробувань»</w:t>
      </w:r>
    </w:p>
    <w:p w14:paraId="2B8AEDE6" w14:textId="2A562F56"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ДСТУ EN 12416-2:2015 «Стаціонарні системи порошкового пожежогасіння. Частина 2. Проєктування, монтаж та технічне обслуговування»</w:t>
      </w:r>
    </w:p>
    <w:p w14:paraId="10E2F1D4" w14:textId="5227E9B0"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ДСТУ ISO 7202:2005</w:t>
      </w:r>
    </w:p>
    <w:p w14:paraId="4CFF9C2E" w14:textId="0C47D086"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ISO 14520-1:2015 «Gaseous fire-extinguishing systems — Physical properties and system design — Part 1: General requirements»</w:t>
      </w:r>
    </w:p>
    <w:p w14:paraId="507FEB19" w14:textId="51352F55"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Н.М. Козяр, Підвищення ефективності об’ємного пожежогасіння. </w:t>
      </w:r>
      <w:r w:rsidR="002127EC" w:rsidRPr="00C72952">
        <w:fldChar w:fldCharType="begin"/>
      </w:r>
      <w:r w:rsidR="002127EC" w:rsidRPr="00C72952">
        <w:instrText xml:space="preserve"> HY</w:instrText>
      </w:r>
      <w:r w:rsidR="002127EC" w:rsidRPr="00C72952">
        <w:instrText xml:space="preserve">PERLINK "http://www.irbis-nbuv.gov.ua/cgi-bin/irbis_nbuv/cgiirbis_64.exe?C21COM=2&amp;I21DBN=UJRN&amp;P21DBN=UJRN&amp;IMAGE_FILE_DOWNLOAD=1&amp;Image_file_name=PDF/Pb_2014_25_9.pdf" \h </w:instrText>
      </w:r>
      <w:r w:rsidR="002127EC" w:rsidRPr="00C72952">
        <w:fldChar w:fldCharType="separate"/>
      </w:r>
      <w:r w:rsidRPr="00C72952">
        <w:rPr>
          <w:rStyle w:val="a4"/>
          <w:rFonts w:ascii="Times New Roman" w:eastAsia="Times New Roman" w:hAnsi="Times New Roman" w:cs="Times New Roman"/>
          <w:color w:val="000000" w:themeColor="text1"/>
        </w:rPr>
        <w:t>http://www.irbis-nbuv.gov.ua/cgi-bin/irbis_nbuv/cgiirbis_64.exe?C21COM=2&amp;I21DBN=UJRN&amp;P21DBN=UJRN&amp;IMAGE_FILE_DOWNLOAD=1&amp;Image_file_name=PDF/Pb_2014_25_9.pdf</w:t>
      </w:r>
      <w:r w:rsidR="002127EC" w:rsidRPr="00C72952">
        <w:rPr>
          <w:rStyle w:val="a4"/>
          <w:rFonts w:ascii="Times New Roman" w:eastAsia="Times New Roman" w:hAnsi="Times New Roman" w:cs="Times New Roman"/>
          <w:color w:val="000000" w:themeColor="text1"/>
        </w:rPr>
        <w:fldChar w:fldCharType="end"/>
      </w:r>
    </w:p>
    <w:p w14:paraId="2DF0AC93" w14:textId="257A02A3"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ISO 15779:2011 Condensed aerosol fire extinguishing systems — Requirements and test methods for components and system design</w:t>
      </w:r>
    </w:p>
    <w:p w14:paraId="1B96230B" w14:textId="43640376" w:rsidR="00114B5C" w:rsidRPr="00C72952" w:rsidRDefault="0E31389E"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ДСТУ EN 12094-1:2015 «Протипожежна техніка. Стаціонарні системи газового пожежогасіння. Компоненти систем газового пожежогасіння. Частина 1. Вимоги до електричних пристроїв автоматичного управління і затримки та методи їх випробувань»</w:t>
      </w:r>
    </w:p>
    <w:p w14:paraId="7D213C31" w14:textId="78D5E8AA" w:rsidR="00114B5C" w:rsidRPr="00C72952" w:rsidRDefault="3A188CE1"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lang w:val="en-US"/>
        </w:rPr>
      </w:pPr>
      <w:r w:rsidRPr="00C72952">
        <w:rPr>
          <w:rFonts w:ascii="Times New Roman" w:eastAsia="Times New Roman" w:hAnsi="Times New Roman" w:cs="Times New Roman"/>
          <w:color w:val="000000" w:themeColor="text1"/>
          <w:lang w:val="en-US"/>
        </w:rPr>
        <w:t xml:space="preserve">Babrauskas V. </w:t>
      </w:r>
      <w:r w:rsidRPr="00C72952">
        <w:rPr>
          <w:rFonts w:ascii="Times New Roman" w:eastAsia="Times New Roman" w:hAnsi="Times New Roman" w:cs="Times New Roman"/>
          <w:iCs/>
          <w:color w:val="000000" w:themeColor="text1"/>
          <w:lang w:val="en-US"/>
        </w:rPr>
        <w:t>Fire Extinguishing Mechanisms of Dry Chemical Powders</w:t>
      </w:r>
      <w:r w:rsidRPr="00C72952">
        <w:rPr>
          <w:rFonts w:ascii="Times New Roman" w:eastAsia="Times New Roman" w:hAnsi="Times New Roman" w:cs="Times New Roman"/>
          <w:color w:val="000000" w:themeColor="text1"/>
          <w:lang w:val="en-US"/>
        </w:rPr>
        <w:t>. Fire Safety Journal, 2010; Dry chemical powders in fire suppression: mechanisms of inhibition, cooling, and dilution. Journal of Fire Sciences, 2012.</w:t>
      </w:r>
    </w:p>
    <w:p w14:paraId="13591FDF" w14:textId="4CC10350" w:rsidR="00114B5C" w:rsidRPr="00C72952" w:rsidRDefault="23CE6286"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lang w:val="en-US"/>
        </w:rPr>
      </w:pPr>
      <w:r w:rsidRPr="00C72952">
        <w:rPr>
          <w:rFonts w:ascii="Times New Roman" w:eastAsia="Times New Roman" w:hAnsi="Times New Roman" w:cs="Times New Roman"/>
          <w:color w:val="000000" w:themeColor="text1"/>
          <w:lang w:val="en-US"/>
        </w:rPr>
        <w:t xml:space="preserve">ASTM E1355-08. </w:t>
      </w:r>
      <w:r w:rsidRPr="00C72952">
        <w:rPr>
          <w:rFonts w:ascii="Times New Roman" w:eastAsia="Times New Roman" w:hAnsi="Times New Roman" w:cs="Times New Roman"/>
          <w:iCs/>
          <w:color w:val="000000" w:themeColor="text1"/>
          <w:lang w:val="en-US"/>
        </w:rPr>
        <w:t>Standard Test Methods for Heat and Mass Transfer in Fire Suppression</w:t>
      </w:r>
      <w:r w:rsidRPr="00C72952">
        <w:rPr>
          <w:rFonts w:ascii="Times New Roman" w:eastAsia="Times New Roman" w:hAnsi="Times New Roman" w:cs="Times New Roman"/>
          <w:color w:val="000000" w:themeColor="text1"/>
          <w:lang w:val="en-US"/>
        </w:rPr>
        <w:t>.</w:t>
      </w:r>
    </w:p>
    <w:p w14:paraId="1324D4A4" w14:textId="48F1692E" w:rsidR="00114B5C" w:rsidRPr="00C72952" w:rsidRDefault="7C281516"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lang w:val="en-US"/>
        </w:rPr>
      </w:pPr>
      <w:r w:rsidRPr="00C72952">
        <w:rPr>
          <w:rFonts w:ascii="Times New Roman" w:eastAsia="Times New Roman" w:hAnsi="Times New Roman" w:cs="Times New Roman"/>
          <w:color w:val="000000" w:themeColor="text1"/>
          <w:lang w:val="en-US"/>
        </w:rPr>
        <w:t xml:space="preserve">Y. S. Lee, </w:t>
      </w:r>
      <w:r w:rsidRPr="00C72952">
        <w:rPr>
          <w:rFonts w:ascii="Times New Roman" w:eastAsia="Times New Roman" w:hAnsi="Times New Roman" w:cs="Times New Roman"/>
          <w:iCs/>
          <w:color w:val="000000" w:themeColor="text1"/>
          <w:lang w:val="en-US"/>
        </w:rPr>
        <w:t>Aerosol Fire Suppression Systems: Theory and Application</w:t>
      </w:r>
      <w:r w:rsidRPr="00C72952">
        <w:rPr>
          <w:rFonts w:ascii="Times New Roman" w:eastAsia="Times New Roman" w:hAnsi="Times New Roman" w:cs="Times New Roman"/>
          <w:color w:val="000000" w:themeColor="text1"/>
          <w:lang w:val="en-US"/>
        </w:rPr>
        <w:t>, 2015.</w:t>
      </w:r>
    </w:p>
    <w:p w14:paraId="0C2EC0AE" w14:textId="0EFA44D0" w:rsidR="00114B5C" w:rsidRPr="00C72952" w:rsidRDefault="7C281516" w:rsidP="00023C5F">
      <w:pPr>
        <w:pStyle w:val="a8"/>
        <w:numPr>
          <w:ilvl w:val="0"/>
          <w:numId w:val="5"/>
        </w:numPr>
        <w:spacing w:before="240" w:after="240" w:line="360" w:lineRule="auto"/>
        <w:ind w:left="0" w:firstLine="0"/>
        <w:jc w:val="both"/>
        <w:rPr>
          <w:rFonts w:ascii="Times New Roman" w:eastAsia="Times New Roman" w:hAnsi="Times New Roman" w:cs="Times New Roman"/>
          <w:color w:val="000000" w:themeColor="text1"/>
          <w:lang w:val="en-US"/>
        </w:rPr>
      </w:pPr>
      <w:r w:rsidRPr="00C72952">
        <w:rPr>
          <w:rFonts w:ascii="Times New Roman" w:eastAsia="Times New Roman" w:hAnsi="Times New Roman" w:cs="Times New Roman"/>
          <w:color w:val="000000" w:themeColor="text1"/>
          <w:lang w:val="en-US"/>
        </w:rPr>
        <w:t xml:space="preserve">NFPA 2001: </w:t>
      </w:r>
      <w:r w:rsidRPr="00C72952">
        <w:rPr>
          <w:rFonts w:ascii="Times New Roman" w:eastAsia="Times New Roman" w:hAnsi="Times New Roman" w:cs="Times New Roman"/>
          <w:iCs/>
          <w:color w:val="000000" w:themeColor="text1"/>
          <w:lang w:val="en-US"/>
        </w:rPr>
        <w:t>Standard on Clean Agent Fire Extinguishing Systems</w:t>
      </w:r>
    </w:p>
    <w:p w14:paraId="25A4D671" w14:textId="1E2815D8" w:rsidR="00114B5C" w:rsidRPr="00C72952" w:rsidRDefault="00114B5C" w:rsidP="00023C5F">
      <w:pPr>
        <w:spacing w:after="0" w:line="240" w:lineRule="auto"/>
        <w:jc w:val="center"/>
        <w:rPr>
          <w:rFonts w:ascii="Times New Roman" w:eastAsia="Times New Roman" w:hAnsi="Times New Roman" w:cs="Times New Roman"/>
        </w:rPr>
      </w:pPr>
    </w:p>
    <w:p w14:paraId="4F18BF36" w14:textId="05A7ABC2" w:rsidR="00114B5C" w:rsidRPr="00C72952" w:rsidRDefault="6B26F36D" w:rsidP="00023C5F">
      <w:pPr>
        <w:spacing w:after="0" w:line="240" w:lineRule="auto"/>
        <w:jc w:val="both"/>
        <w:rPr>
          <w:rFonts w:ascii="Times New Roman" w:eastAsia="Times New Roman" w:hAnsi="Times New Roman" w:cs="Times New Roman"/>
        </w:rPr>
      </w:pPr>
      <w:r w:rsidRPr="00C72952">
        <w:rPr>
          <w:rFonts w:ascii="Times New Roman" w:eastAsia="Times New Roman" w:hAnsi="Times New Roman" w:cs="Times New Roman"/>
        </w:rPr>
        <w:t>REFERENCE:</w:t>
      </w:r>
    </w:p>
    <w:p w14:paraId="2F20A076" w14:textId="7BB6AD8B"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lastRenderedPageBreak/>
        <w:t xml:space="preserve">Analytical report on fires and their consequences in Ukraine. </w:t>
      </w:r>
      <w:r w:rsidR="002127EC" w:rsidRPr="00C72952">
        <w:fldChar w:fldCharType="begin"/>
      </w:r>
      <w:r w:rsidR="002127EC" w:rsidRPr="00C72952">
        <w:instrText xml:space="preserve"> HYPERLINK "https://idundcz.dsns.gov.ua/statistika-pozhezh/analitichni-materiali" \h </w:instrText>
      </w:r>
      <w:r w:rsidR="002127EC" w:rsidRPr="00C72952">
        <w:fldChar w:fldCharType="separate"/>
      </w:r>
      <w:r w:rsidRPr="00C72952">
        <w:rPr>
          <w:rStyle w:val="a4"/>
          <w:rFonts w:ascii="Times New Roman" w:eastAsia="Times New Roman" w:hAnsi="Times New Roman" w:cs="Times New Roman"/>
          <w:color w:val="000000" w:themeColor="text1"/>
        </w:rPr>
        <w:t>https://idundcz.dsns.gov.ua/statistika-pozhezh/analitichni-materiali</w:t>
      </w:r>
      <w:r w:rsidR="002127EC" w:rsidRPr="00C72952">
        <w:rPr>
          <w:rStyle w:val="a4"/>
          <w:rFonts w:ascii="Times New Roman" w:eastAsia="Times New Roman" w:hAnsi="Times New Roman" w:cs="Times New Roman"/>
          <w:color w:val="000000" w:themeColor="text1"/>
        </w:rPr>
        <w:fldChar w:fldCharType="end"/>
      </w:r>
    </w:p>
    <w:p w14:paraId="7D83CB55" w14:textId="4049B18E"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H. Zhang, M.H.S. Ismail, F.R.B. Ahmadun et al., </w:t>
      </w:r>
      <w:r w:rsidRPr="00C72952">
        <w:rPr>
          <w:rFonts w:ascii="Times New Roman" w:eastAsia="Times New Roman" w:hAnsi="Times New Roman" w:cs="Times New Roman"/>
          <w:iCs/>
          <w:color w:val="000000" w:themeColor="text1"/>
        </w:rPr>
        <w:t>Brazilian Journal of Chemical Engineering</w:t>
      </w:r>
      <w:r w:rsidRPr="00C72952">
        <w:rPr>
          <w:rFonts w:ascii="Times New Roman" w:eastAsia="Times New Roman" w:hAnsi="Times New Roman" w:cs="Times New Roman"/>
          <w:color w:val="000000" w:themeColor="text1"/>
        </w:rPr>
        <w:t xml:space="preserve">, 32, 707–724 (2015). </w:t>
      </w:r>
      <w:r w:rsidR="002127EC" w:rsidRPr="00C72952">
        <w:fldChar w:fldCharType="begin"/>
      </w:r>
      <w:r w:rsidR="002127EC" w:rsidRPr="00C72952">
        <w:instrText xml:space="preserve"> HYPERLINK "https://doi.org/10.1590/0104-6632.20150323s00003510" \h </w:instrText>
      </w:r>
      <w:r w:rsidR="002127EC" w:rsidRPr="00C72952">
        <w:fldChar w:fldCharType="separate"/>
      </w:r>
      <w:r w:rsidRPr="00C72952">
        <w:rPr>
          <w:rStyle w:val="a4"/>
          <w:rFonts w:ascii="Times New Roman" w:eastAsia="Times New Roman" w:hAnsi="Times New Roman" w:cs="Times New Roman"/>
          <w:color w:val="000000" w:themeColor="text1"/>
        </w:rPr>
        <w:t>https://doi.org/10.1590/0104-6632.20150323s00003510</w:t>
      </w:r>
      <w:r w:rsidR="002127EC" w:rsidRPr="00C72952">
        <w:rPr>
          <w:rStyle w:val="a4"/>
          <w:rFonts w:ascii="Times New Roman" w:eastAsia="Times New Roman" w:hAnsi="Times New Roman" w:cs="Times New Roman"/>
          <w:color w:val="000000" w:themeColor="text1"/>
        </w:rPr>
        <w:fldChar w:fldCharType="end"/>
      </w:r>
    </w:p>
    <w:p w14:paraId="1A431A2B" w14:textId="6B2CAF60"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N.M. Koziar, </w:t>
      </w:r>
      <w:r w:rsidRPr="00C72952">
        <w:rPr>
          <w:rFonts w:ascii="Times New Roman" w:eastAsia="Times New Roman" w:hAnsi="Times New Roman" w:cs="Times New Roman"/>
          <w:iCs/>
          <w:color w:val="000000" w:themeColor="text1"/>
        </w:rPr>
        <w:t>Increasing the Effectiveness of Total Flooding Fire Suppression.</w:t>
      </w:r>
      <w:r w:rsidRPr="00C72952">
        <w:rPr>
          <w:rFonts w:ascii="Times New Roman" w:eastAsia="Times New Roman" w:hAnsi="Times New Roman" w:cs="Times New Roman"/>
          <w:color w:val="000000" w:themeColor="text1"/>
        </w:rPr>
        <w:t xml:space="preserve"> </w:t>
      </w:r>
      <w:r w:rsidR="002127EC" w:rsidRPr="00C72952">
        <w:fldChar w:fldCharType="begin"/>
      </w:r>
      <w:r w:rsidR="002127EC" w:rsidRPr="00C72952">
        <w:instrText xml:space="preserve"> HYPERLINK "http://www.irbis-nbuv.gov.ua/cg</w:instrText>
      </w:r>
      <w:r w:rsidR="002127EC" w:rsidRPr="00C72952">
        <w:instrText xml:space="preserve">i-bin/irbis_nbuv/cgiirbis_64.exe?C21COM=2&amp;I21DBN=UJRN&amp;P21DBN=UJRN&amp;IMAGE_FILE_DOWNLOAD=1&amp;Image_file_name=PDF/Pb_2014_25_9.pdf" \h </w:instrText>
      </w:r>
      <w:r w:rsidR="002127EC" w:rsidRPr="00C72952">
        <w:fldChar w:fldCharType="separate"/>
      </w:r>
      <w:r w:rsidRPr="00C72952">
        <w:rPr>
          <w:rStyle w:val="a4"/>
          <w:rFonts w:ascii="Times New Roman" w:eastAsia="Times New Roman" w:hAnsi="Times New Roman" w:cs="Times New Roman"/>
          <w:color w:val="000000" w:themeColor="text1"/>
        </w:rPr>
        <w:t>http://www.irbis-nbuv.gov.ua/cgi-bin/irbis_nbuv/cgiirbis_64.exe?C21COM=2&amp;I21DBN=UJRN&amp;P21DBN=UJRN&amp;IMAGE_FILE_DOWNLOAD=1&amp;Image_file_name=PDF/Pb_2014_25_9.pdf</w:t>
      </w:r>
      <w:r w:rsidR="002127EC" w:rsidRPr="00C72952">
        <w:rPr>
          <w:rStyle w:val="a4"/>
          <w:rFonts w:ascii="Times New Roman" w:eastAsia="Times New Roman" w:hAnsi="Times New Roman" w:cs="Times New Roman"/>
          <w:color w:val="000000" w:themeColor="text1"/>
        </w:rPr>
        <w:fldChar w:fldCharType="end"/>
      </w:r>
    </w:p>
    <w:p w14:paraId="18594437" w14:textId="76811CF1"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V. Babrauskas, </w:t>
      </w:r>
      <w:r w:rsidRPr="00C72952">
        <w:rPr>
          <w:rFonts w:ascii="Times New Roman" w:eastAsia="Times New Roman" w:hAnsi="Times New Roman" w:cs="Times New Roman"/>
          <w:iCs/>
          <w:color w:val="000000" w:themeColor="text1"/>
        </w:rPr>
        <w:t>Fire Extinguishing Mechanisms of Dry Chemical Powders.</w:t>
      </w:r>
      <w:r w:rsidRPr="00C72952">
        <w:rPr>
          <w:rFonts w:ascii="Times New Roman" w:eastAsia="Times New Roman" w:hAnsi="Times New Roman" w:cs="Times New Roman"/>
          <w:color w:val="000000" w:themeColor="text1"/>
        </w:rPr>
        <w:t xml:space="preserve"> </w:t>
      </w:r>
      <w:r w:rsidRPr="00C72952">
        <w:rPr>
          <w:rFonts w:ascii="Times New Roman" w:eastAsia="Times New Roman" w:hAnsi="Times New Roman" w:cs="Times New Roman"/>
          <w:iCs/>
          <w:color w:val="000000" w:themeColor="text1"/>
        </w:rPr>
        <w:t>Fire Safety Journal</w:t>
      </w:r>
      <w:r w:rsidRPr="00C72952">
        <w:rPr>
          <w:rFonts w:ascii="Times New Roman" w:eastAsia="Times New Roman" w:hAnsi="Times New Roman" w:cs="Times New Roman"/>
          <w:color w:val="000000" w:themeColor="text1"/>
        </w:rPr>
        <w:t xml:space="preserve">, 2010; </w:t>
      </w:r>
      <w:r w:rsidRPr="00C72952">
        <w:rPr>
          <w:rFonts w:ascii="Times New Roman" w:eastAsia="Times New Roman" w:hAnsi="Times New Roman" w:cs="Times New Roman"/>
          <w:iCs/>
          <w:color w:val="000000" w:themeColor="text1"/>
        </w:rPr>
        <w:t>Dry chemical powders in fire suppression: mechanisms of inhibition, cooling, and dilution.</w:t>
      </w:r>
      <w:r w:rsidRPr="00C72952">
        <w:rPr>
          <w:rFonts w:ascii="Times New Roman" w:eastAsia="Times New Roman" w:hAnsi="Times New Roman" w:cs="Times New Roman"/>
          <w:color w:val="000000" w:themeColor="text1"/>
        </w:rPr>
        <w:t xml:space="preserve"> </w:t>
      </w:r>
      <w:r w:rsidRPr="00C72952">
        <w:rPr>
          <w:rFonts w:ascii="Times New Roman" w:eastAsia="Times New Roman" w:hAnsi="Times New Roman" w:cs="Times New Roman"/>
          <w:iCs/>
          <w:color w:val="000000" w:themeColor="text1"/>
        </w:rPr>
        <w:t>Journal of Fire Sciences</w:t>
      </w:r>
      <w:r w:rsidRPr="00C72952">
        <w:rPr>
          <w:rFonts w:ascii="Times New Roman" w:eastAsia="Times New Roman" w:hAnsi="Times New Roman" w:cs="Times New Roman"/>
          <w:color w:val="000000" w:themeColor="text1"/>
        </w:rPr>
        <w:t>, 2012.</w:t>
      </w:r>
    </w:p>
    <w:p w14:paraId="63A37BDE" w14:textId="72A23DDD"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 xml:space="preserve">Y.S. Lee, </w:t>
      </w:r>
      <w:r w:rsidRPr="00C72952">
        <w:rPr>
          <w:rFonts w:ascii="Times New Roman" w:eastAsia="Times New Roman" w:hAnsi="Times New Roman" w:cs="Times New Roman"/>
          <w:iCs/>
          <w:color w:val="000000" w:themeColor="text1"/>
        </w:rPr>
        <w:t>Aerosol Fire Suppression Systems: Theory and Application</w:t>
      </w:r>
      <w:r w:rsidRPr="00C72952">
        <w:rPr>
          <w:rFonts w:ascii="Times New Roman" w:eastAsia="Times New Roman" w:hAnsi="Times New Roman" w:cs="Times New Roman"/>
          <w:color w:val="000000" w:themeColor="text1"/>
        </w:rPr>
        <w:t>, 2015.</w:t>
      </w:r>
    </w:p>
    <w:p w14:paraId="6CE84F6E" w14:textId="03B6FDC7"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DSTU EN 15276-1:2021. </w:t>
      </w:r>
      <w:r w:rsidRPr="00C72952">
        <w:rPr>
          <w:rFonts w:ascii="Times New Roman" w:eastAsia="Times New Roman" w:hAnsi="Times New Roman" w:cs="Times New Roman"/>
          <w:iCs/>
          <w:color w:val="000000" w:themeColor="text1"/>
        </w:rPr>
        <w:t>Fixed Fire-Extinguishing Systems — Aerosol Fire-Extinguishing Systems — Part 1: Requirements for Components and Test Methods</w:t>
      </w:r>
    </w:p>
    <w:p w14:paraId="27C241EE" w14:textId="5EA80FB4"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DSTU EN 15276-2:2022. </w:t>
      </w:r>
      <w:r w:rsidRPr="00C72952">
        <w:rPr>
          <w:rFonts w:ascii="Times New Roman" w:eastAsia="Times New Roman" w:hAnsi="Times New Roman" w:cs="Times New Roman"/>
          <w:iCs/>
          <w:color w:val="000000" w:themeColor="text1"/>
        </w:rPr>
        <w:t>Fixed Fire-Extinguishing Systems — Aerosol Fire-Extinguishing Systems — Part 2: Design, Installation, and Maintenance</w:t>
      </w:r>
    </w:p>
    <w:p w14:paraId="1772F51D" w14:textId="3B8AA7BB"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DSTU 4490-2005. </w:t>
      </w:r>
      <w:r w:rsidRPr="00C72952">
        <w:rPr>
          <w:rFonts w:ascii="Times New Roman" w:eastAsia="Times New Roman" w:hAnsi="Times New Roman" w:cs="Times New Roman"/>
          <w:iCs/>
          <w:color w:val="000000" w:themeColor="text1"/>
        </w:rPr>
        <w:t>Automatic Aerosol Fire-Extinguishing Installations — General Technical Requirements</w:t>
      </w:r>
    </w:p>
    <w:p w14:paraId="69981BAD" w14:textId="55CCFB33"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DBN V.2.5-56:2014. </w:t>
      </w:r>
      <w:r w:rsidRPr="00C72952">
        <w:rPr>
          <w:rFonts w:ascii="Times New Roman" w:eastAsia="Times New Roman" w:hAnsi="Times New Roman" w:cs="Times New Roman"/>
          <w:iCs/>
          <w:color w:val="000000" w:themeColor="text1"/>
        </w:rPr>
        <w:t>Fire Protection Systems</w:t>
      </w:r>
    </w:p>
    <w:p w14:paraId="6CF57DF4" w14:textId="06804AC1"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DSTU EN 12416-1:2015. </w:t>
      </w:r>
      <w:r w:rsidRPr="00C72952">
        <w:rPr>
          <w:rFonts w:ascii="Times New Roman" w:eastAsia="Times New Roman" w:hAnsi="Times New Roman" w:cs="Times New Roman"/>
          <w:iCs/>
          <w:color w:val="000000" w:themeColor="text1"/>
        </w:rPr>
        <w:t>Fixed Powder Fire-Extinguishing Systems — Part 1: Requirements for Components and Test Methods</w:t>
      </w:r>
    </w:p>
    <w:p w14:paraId="448E27AE" w14:textId="408C847D"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DSTU EN 12416-2:2015. </w:t>
      </w:r>
      <w:r w:rsidRPr="00C72952">
        <w:rPr>
          <w:rFonts w:ascii="Times New Roman" w:eastAsia="Times New Roman" w:hAnsi="Times New Roman" w:cs="Times New Roman"/>
          <w:iCs/>
          <w:color w:val="000000" w:themeColor="text1"/>
        </w:rPr>
        <w:t>Fixed Powder Fire-Extinguishing Systems — Part 2: Design, Installation, and Maintenance</w:t>
      </w:r>
    </w:p>
    <w:p w14:paraId="60673B82" w14:textId="57676860"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color w:val="000000" w:themeColor="text1"/>
        </w:rPr>
      </w:pPr>
      <w:r w:rsidRPr="00C72952">
        <w:rPr>
          <w:rFonts w:ascii="Times New Roman" w:eastAsia="Times New Roman" w:hAnsi="Times New Roman" w:cs="Times New Roman"/>
          <w:color w:val="000000" w:themeColor="text1"/>
        </w:rPr>
        <w:t>DSTU ISO 7202:2005</w:t>
      </w:r>
    </w:p>
    <w:p w14:paraId="6627DBA5" w14:textId="0894C297"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ISO 14520-1:2015. </w:t>
      </w:r>
      <w:r w:rsidRPr="00C72952">
        <w:rPr>
          <w:rFonts w:ascii="Times New Roman" w:eastAsia="Times New Roman" w:hAnsi="Times New Roman" w:cs="Times New Roman"/>
          <w:iCs/>
          <w:color w:val="000000" w:themeColor="text1"/>
        </w:rPr>
        <w:t>Gaseous Fire-Extinguishing Systems — Physical Properties and System Design — Part 1: General Requirements</w:t>
      </w:r>
    </w:p>
    <w:p w14:paraId="265EBC86" w14:textId="4391312F"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ISO 15779:2011. </w:t>
      </w:r>
      <w:r w:rsidRPr="00C72952">
        <w:rPr>
          <w:rFonts w:ascii="Times New Roman" w:eastAsia="Times New Roman" w:hAnsi="Times New Roman" w:cs="Times New Roman"/>
          <w:iCs/>
          <w:color w:val="000000" w:themeColor="text1"/>
        </w:rPr>
        <w:t>Condensed Aerosol Fire-Extinguishing Systems — Requirements and Test Methods for Components and System Design</w:t>
      </w:r>
    </w:p>
    <w:p w14:paraId="2D480A15" w14:textId="563F3D6C"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DSTU EN 12094-1:2015. </w:t>
      </w:r>
      <w:r w:rsidRPr="00C72952">
        <w:rPr>
          <w:rFonts w:ascii="Times New Roman" w:eastAsia="Times New Roman" w:hAnsi="Times New Roman" w:cs="Times New Roman"/>
          <w:iCs/>
          <w:color w:val="000000" w:themeColor="text1"/>
        </w:rPr>
        <w:t>Fire Protection Equipment — Fixed Gaseous Fire-Extinguishing Systems — Components of Gas Fire-Extinguishing Systems — Part 1: Requirements for Electrical Automatic Control and Delay Devices and Test Methods</w:t>
      </w:r>
    </w:p>
    <w:p w14:paraId="4785E354" w14:textId="40E6DFD0"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NFPA 2001. </w:t>
      </w:r>
      <w:r w:rsidRPr="00C72952">
        <w:rPr>
          <w:rFonts w:ascii="Times New Roman" w:eastAsia="Times New Roman" w:hAnsi="Times New Roman" w:cs="Times New Roman"/>
          <w:iCs/>
          <w:color w:val="000000" w:themeColor="text1"/>
        </w:rPr>
        <w:t>Standard on Clean Agent Fire-Extinguishing Systems</w:t>
      </w:r>
    </w:p>
    <w:p w14:paraId="53A288F6" w14:textId="08813461" w:rsidR="00114B5C" w:rsidRPr="00C72952" w:rsidRDefault="6FEB207B" w:rsidP="00023C5F">
      <w:pPr>
        <w:pStyle w:val="a8"/>
        <w:numPr>
          <w:ilvl w:val="0"/>
          <w:numId w:val="1"/>
        </w:numPr>
        <w:spacing w:before="240" w:after="240" w:line="360" w:lineRule="auto"/>
        <w:ind w:left="0" w:firstLine="0"/>
        <w:jc w:val="both"/>
        <w:rPr>
          <w:rFonts w:ascii="Times New Roman" w:eastAsia="Times New Roman" w:hAnsi="Times New Roman" w:cs="Times New Roman"/>
          <w:iCs/>
          <w:color w:val="000000" w:themeColor="text1"/>
        </w:rPr>
      </w:pPr>
      <w:r w:rsidRPr="00C72952">
        <w:rPr>
          <w:rFonts w:ascii="Times New Roman" w:eastAsia="Times New Roman" w:hAnsi="Times New Roman" w:cs="Times New Roman"/>
          <w:color w:val="000000" w:themeColor="text1"/>
        </w:rPr>
        <w:t xml:space="preserve">ASTM E1355-08. </w:t>
      </w:r>
      <w:r w:rsidRPr="00C72952">
        <w:rPr>
          <w:rFonts w:ascii="Times New Roman" w:eastAsia="Times New Roman" w:hAnsi="Times New Roman" w:cs="Times New Roman"/>
          <w:iCs/>
          <w:color w:val="000000" w:themeColor="text1"/>
        </w:rPr>
        <w:t>Standard Test Methods for Heat and Mass Transfer in Fire Suppressio</w:t>
      </w:r>
    </w:p>
    <w:p w14:paraId="30074DC5" w14:textId="76BDE9F3" w:rsidR="00114B5C" w:rsidRPr="00C72952" w:rsidRDefault="07BEFF54" w:rsidP="3430C036">
      <w:pPr>
        <w:spacing w:before="240" w:after="240" w:line="360" w:lineRule="auto"/>
        <w:rPr>
          <w:rFonts w:ascii="Times New Roman" w:eastAsia="Times New Roman" w:hAnsi="Times New Roman" w:cs="Times New Roman"/>
          <w:color w:val="000000" w:themeColor="text1"/>
        </w:rPr>
      </w:pPr>
      <w:r w:rsidRPr="00C72952">
        <w:rPr>
          <w:rFonts w:ascii="Times New Roman" w:eastAsia="Times New Roman" w:hAnsi="Times New Roman" w:cs="Times New Roman"/>
          <w:b/>
          <w:bCs/>
          <w:color w:val="000000" w:themeColor="text1"/>
        </w:rPr>
        <w:lastRenderedPageBreak/>
        <w:t>V.M. Balanyuk</w:t>
      </w:r>
      <w:r w:rsidRPr="00C72952">
        <w:rPr>
          <w:rFonts w:ascii="Times New Roman" w:eastAsia="Times New Roman" w:hAnsi="Times New Roman" w:cs="Times New Roman"/>
          <w:color w:val="000000" w:themeColor="text1"/>
        </w:rPr>
        <w:t>¹, Doctor of Technical Sciences, Associate Professor</w:t>
      </w:r>
      <w:r w:rsidR="002127EC" w:rsidRPr="00C72952">
        <w:br/>
      </w:r>
      <w:r w:rsidRPr="00C72952">
        <w:rPr>
          <w:rFonts w:ascii="Times New Roman" w:eastAsia="Times New Roman" w:hAnsi="Times New Roman" w:cs="Times New Roman"/>
          <w:color w:val="000000" w:themeColor="text1"/>
        </w:rPr>
        <w:t>(Lviv State University of Life Safety)</w:t>
      </w:r>
    </w:p>
    <w:p w14:paraId="2BC7E6CF" w14:textId="0695D3F9" w:rsidR="00114B5C" w:rsidRDefault="07BEFF54" w:rsidP="3430C036">
      <w:pPr>
        <w:spacing w:before="240" w:after="240" w:line="360" w:lineRule="auto"/>
        <w:rPr>
          <w:rFonts w:ascii="Times New Roman" w:eastAsia="Times New Roman" w:hAnsi="Times New Roman" w:cs="Times New Roman"/>
          <w:color w:val="000000" w:themeColor="text1"/>
        </w:rPr>
      </w:pPr>
      <w:r w:rsidRPr="00C72952">
        <w:rPr>
          <w:rFonts w:ascii="Times New Roman" w:eastAsia="Times New Roman" w:hAnsi="Times New Roman" w:cs="Times New Roman"/>
          <w:b/>
          <w:bCs/>
          <w:color w:val="000000" w:themeColor="text1"/>
        </w:rPr>
        <w:t>O.M. Ivashchyshyn</w:t>
      </w:r>
      <w:r w:rsidRPr="00C72952">
        <w:rPr>
          <w:rFonts w:ascii="Times New Roman" w:eastAsia="Times New Roman" w:hAnsi="Times New Roman" w:cs="Times New Roman"/>
          <w:color w:val="000000" w:themeColor="text1"/>
        </w:rPr>
        <w:t xml:space="preserve">², </w:t>
      </w:r>
      <w:bookmarkStart w:id="0" w:name="_GoBack"/>
      <w:bookmarkEnd w:id="0"/>
      <w:r w:rsidRPr="00C72952">
        <w:rPr>
          <w:rFonts w:ascii="Times New Roman" w:eastAsia="Times New Roman" w:hAnsi="Times New Roman" w:cs="Times New Roman"/>
          <w:color w:val="000000" w:themeColor="text1"/>
        </w:rPr>
        <w:t xml:space="preserve"> Educational </w:t>
      </w:r>
      <w:r w:rsidR="3C20F58A" w:rsidRPr="00C72952">
        <w:rPr>
          <w:rFonts w:ascii="Times New Roman" w:eastAsia="Times New Roman" w:hAnsi="Times New Roman" w:cs="Times New Roman"/>
          <w:color w:val="000000" w:themeColor="text1"/>
        </w:rPr>
        <w:t xml:space="preserve">and </w:t>
      </w:r>
      <w:r w:rsidRPr="00C72952">
        <w:rPr>
          <w:rFonts w:ascii="Times New Roman" w:eastAsia="Times New Roman" w:hAnsi="Times New Roman" w:cs="Times New Roman"/>
          <w:color w:val="000000" w:themeColor="text1"/>
        </w:rPr>
        <w:t xml:space="preserve">Scientific Institute of </w:t>
      </w:r>
      <w:proofErr w:type="spellStart"/>
      <w:r w:rsidRPr="00C72952">
        <w:rPr>
          <w:rFonts w:ascii="Times New Roman" w:eastAsia="Times New Roman" w:hAnsi="Times New Roman" w:cs="Times New Roman"/>
          <w:color w:val="000000" w:themeColor="text1"/>
        </w:rPr>
        <w:t>Fire</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and</w:t>
      </w:r>
      <w:proofErr w:type="spellEnd"/>
      <w:r w:rsidR="34F9DFFB"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Technical</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Safety</w:t>
      </w:r>
      <w:proofErr w:type="spellEnd"/>
      <w:r w:rsidR="00980E71">
        <w:rPr>
          <w:rFonts w:ascii="Times New Roman" w:eastAsia="Times New Roman" w:hAnsi="Times New Roman" w:cs="Times New Roman"/>
          <w:color w:val="000000" w:themeColor="text1"/>
        </w:rPr>
        <w:t xml:space="preserve"> </w:t>
      </w:r>
      <w:r w:rsidR="00980E71" w:rsidRPr="00C72952">
        <w:rPr>
          <w:rFonts w:ascii="Times New Roman" w:eastAsia="Times New Roman" w:hAnsi="Times New Roman" w:cs="Times New Roman"/>
          <w:color w:val="000000" w:themeColor="text1"/>
        </w:rPr>
        <w:t>(</w:t>
      </w:r>
      <w:proofErr w:type="spellStart"/>
      <w:r w:rsidR="00980E71" w:rsidRPr="00C72952">
        <w:rPr>
          <w:rFonts w:ascii="Times New Roman" w:eastAsia="Times New Roman" w:hAnsi="Times New Roman" w:cs="Times New Roman"/>
          <w:color w:val="000000" w:themeColor="text1"/>
        </w:rPr>
        <w:t>Lviv</w:t>
      </w:r>
      <w:proofErr w:type="spellEnd"/>
      <w:r w:rsidR="00980E71" w:rsidRPr="00C72952">
        <w:rPr>
          <w:rFonts w:ascii="Times New Roman" w:eastAsia="Times New Roman" w:hAnsi="Times New Roman" w:cs="Times New Roman"/>
          <w:color w:val="000000" w:themeColor="text1"/>
        </w:rPr>
        <w:t xml:space="preserve"> </w:t>
      </w:r>
      <w:proofErr w:type="spellStart"/>
      <w:r w:rsidR="00980E71" w:rsidRPr="00C72952">
        <w:rPr>
          <w:rFonts w:ascii="Times New Roman" w:eastAsia="Times New Roman" w:hAnsi="Times New Roman" w:cs="Times New Roman"/>
          <w:color w:val="000000" w:themeColor="text1"/>
        </w:rPr>
        <w:t>State</w:t>
      </w:r>
      <w:proofErr w:type="spellEnd"/>
      <w:r w:rsidR="00980E71" w:rsidRPr="00C72952">
        <w:rPr>
          <w:rFonts w:ascii="Times New Roman" w:eastAsia="Times New Roman" w:hAnsi="Times New Roman" w:cs="Times New Roman"/>
          <w:color w:val="000000" w:themeColor="text1"/>
        </w:rPr>
        <w:t xml:space="preserve"> </w:t>
      </w:r>
      <w:proofErr w:type="spellStart"/>
      <w:r w:rsidR="00980E71" w:rsidRPr="00C72952">
        <w:rPr>
          <w:rFonts w:ascii="Times New Roman" w:eastAsia="Times New Roman" w:hAnsi="Times New Roman" w:cs="Times New Roman"/>
          <w:color w:val="000000" w:themeColor="text1"/>
        </w:rPr>
        <w:t>University</w:t>
      </w:r>
      <w:proofErr w:type="spellEnd"/>
      <w:r w:rsidR="00980E71" w:rsidRPr="00C72952">
        <w:rPr>
          <w:rFonts w:ascii="Times New Roman" w:eastAsia="Times New Roman" w:hAnsi="Times New Roman" w:cs="Times New Roman"/>
          <w:color w:val="000000" w:themeColor="text1"/>
        </w:rPr>
        <w:t xml:space="preserve"> </w:t>
      </w:r>
      <w:proofErr w:type="spellStart"/>
      <w:r w:rsidR="00980E71" w:rsidRPr="00C72952">
        <w:rPr>
          <w:rFonts w:ascii="Times New Roman" w:eastAsia="Times New Roman" w:hAnsi="Times New Roman" w:cs="Times New Roman"/>
          <w:color w:val="000000" w:themeColor="text1"/>
        </w:rPr>
        <w:t>of</w:t>
      </w:r>
      <w:proofErr w:type="spellEnd"/>
      <w:r w:rsidR="00980E71" w:rsidRPr="00C72952">
        <w:rPr>
          <w:rFonts w:ascii="Times New Roman" w:eastAsia="Times New Roman" w:hAnsi="Times New Roman" w:cs="Times New Roman"/>
          <w:color w:val="000000" w:themeColor="text1"/>
        </w:rPr>
        <w:t xml:space="preserve"> </w:t>
      </w:r>
      <w:proofErr w:type="spellStart"/>
      <w:r w:rsidR="00980E71" w:rsidRPr="00C72952">
        <w:rPr>
          <w:rFonts w:ascii="Times New Roman" w:eastAsia="Times New Roman" w:hAnsi="Times New Roman" w:cs="Times New Roman"/>
          <w:color w:val="000000" w:themeColor="text1"/>
        </w:rPr>
        <w:t>Life</w:t>
      </w:r>
      <w:proofErr w:type="spellEnd"/>
      <w:r w:rsidR="00980E71" w:rsidRPr="00C72952">
        <w:rPr>
          <w:rFonts w:ascii="Times New Roman" w:eastAsia="Times New Roman" w:hAnsi="Times New Roman" w:cs="Times New Roman"/>
          <w:color w:val="000000" w:themeColor="text1"/>
        </w:rPr>
        <w:t xml:space="preserve"> </w:t>
      </w:r>
      <w:proofErr w:type="spellStart"/>
      <w:r w:rsidR="00980E71" w:rsidRPr="00C72952">
        <w:rPr>
          <w:rFonts w:ascii="Times New Roman" w:eastAsia="Times New Roman" w:hAnsi="Times New Roman" w:cs="Times New Roman"/>
          <w:color w:val="000000" w:themeColor="text1"/>
        </w:rPr>
        <w:t>Safety</w:t>
      </w:r>
      <w:proofErr w:type="spellEnd"/>
      <w:r w:rsidR="00980E71" w:rsidRPr="00C72952">
        <w:rPr>
          <w:rFonts w:ascii="Times New Roman" w:eastAsia="Times New Roman" w:hAnsi="Times New Roman" w:cs="Times New Roman"/>
          <w:color w:val="000000" w:themeColor="text1"/>
        </w:rPr>
        <w:t>)</w:t>
      </w:r>
    </w:p>
    <w:p w14:paraId="6C4541C8" w14:textId="77777777" w:rsidR="00980E71" w:rsidRDefault="00980E71" w:rsidP="00980E71">
      <w:pPr>
        <w:spacing w:before="240" w:after="240" w:line="360" w:lineRule="auto"/>
        <w:rPr>
          <w:rFonts w:ascii="Times New Roman" w:eastAsia="Times New Roman" w:hAnsi="Times New Roman" w:cs="Times New Roman"/>
          <w:color w:val="000000" w:themeColor="text1"/>
        </w:rPr>
      </w:pPr>
      <w:r w:rsidRPr="00980E71">
        <w:rPr>
          <w:rFonts w:ascii="Times New Roman" w:eastAsia="Times New Roman" w:hAnsi="Times New Roman" w:cs="Times New Roman"/>
          <w:b/>
          <w:color w:val="000000" w:themeColor="text1"/>
          <w:lang w:val="en-US"/>
        </w:rPr>
        <w:t xml:space="preserve">O.I. </w:t>
      </w:r>
      <w:proofErr w:type="spellStart"/>
      <w:proofErr w:type="gramStart"/>
      <w:r w:rsidRPr="00980E71">
        <w:rPr>
          <w:rFonts w:ascii="Times New Roman" w:eastAsia="Times New Roman" w:hAnsi="Times New Roman" w:cs="Times New Roman"/>
          <w:b/>
          <w:color w:val="000000" w:themeColor="text1"/>
          <w:lang w:val="en-US"/>
        </w:rPr>
        <w:t>Girskuy</w:t>
      </w:r>
      <w:proofErr w:type="spellEnd"/>
      <w:r w:rsidRPr="00980E71">
        <w:rPr>
          <w:rFonts w:ascii="Times New Roman" w:eastAsia="Times New Roman" w:hAnsi="Times New Roman" w:cs="Times New Roman"/>
          <w:b/>
          <w:color w:val="000000" w:themeColor="text1"/>
          <w:lang w:val="en-US"/>
        </w:rPr>
        <w:t xml:space="preserve"> </w:t>
      </w:r>
      <w:r>
        <w:rPr>
          <w:rFonts w:ascii="Times New Roman" w:eastAsia="Times New Roman" w:hAnsi="Times New Roman" w:cs="Times New Roman"/>
          <w:b/>
          <w:color w:val="000000" w:themeColor="text1"/>
          <w:lang w:val="en-US"/>
        </w:rPr>
        <w:t xml:space="preserve"> </w:t>
      </w:r>
      <w:proofErr w:type="spellStart"/>
      <w:r w:rsidRPr="00C72952">
        <w:rPr>
          <w:rFonts w:ascii="Times New Roman" w:eastAsia="Times New Roman" w:hAnsi="Times New Roman" w:cs="Times New Roman"/>
          <w:color w:val="000000" w:themeColor="text1"/>
        </w:rPr>
        <w:t>Educational</w:t>
      </w:r>
      <w:proofErr w:type="spellEnd"/>
      <w:proofErr w:type="gram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and</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Scientific</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Institute</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of</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Fire</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and</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Technical</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Safety</w:t>
      </w:r>
      <w:proofErr w:type="spellEnd"/>
      <w:r>
        <w:rPr>
          <w:rFonts w:ascii="Times New Roman" w:eastAsia="Times New Roman" w:hAnsi="Times New Roman" w:cs="Times New Roman"/>
          <w:color w:val="000000" w:themeColor="text1"/>
        </w:rPr>
        <w:t xml:space="preserve"> </w:t>
      </w:r>
      <w:r w:rsidRPr="00C72952">
        <w:rPr>
          <w:rFonts w:ascii="Times New Roman" w:eastAsia="Times New Roman" w:hAnsi="Times New Roman" w:cs="Times New Roman"/>
          <w:color w:val="000000" w:themeColor="text1"/>
        </w:rPr>
        <w:t>(</w:t>
      </w:r>
      <w:proofErr w:type="spellStart"/>
      <w:r w:rsidRPr="00C72952">
        <w:rPr>
          <w:rFonts w:ascii="Times New Roman" w:eastAsia="Times New Roman" w:hAnsi="Times New Roman" w:cs="Times New Roman"/>
          <w:color w:val="000000" w:themeColor="text1"/>
        </w:rPr>
        <w:t>Lviv</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State</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University</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of</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Life</w:t>
      </w:r>
      <w:proofErr w:type="spellEnd"/>
      <w:r w:rsidRPr="00C72952">
        <w:rPr>
          <w:rFonts w:ascii="Times New Roman" w:eastAsia="Times New Roman" w:hAnsi="Times New Roman" w:cs="Times New Roman"/>
          <w:color w:val="000000" w:themeColor="text1"/>
        </w:rPr>
        <w:t xml:space="preserve"> </w:t>
      </w:r>
      <w:proofErr w:type="spellStart"/>
      <w:r w:rsidRPr="00C72952">
        <w:rPr>
          <w:rFonts w:ascii="Times New Roman" w:eastAsia="Times New Roman" w:hAnsi="Times New Roman" w:cs="Times New Roman"/>
          <w:color w:val="000000" w:themeColor="text1"/>
        </w:rPr>
        <w:t>Safety</w:t>
      </w:r>
      <w:proofErr w:type="spellEnd"/>
      <w:r w:rsidRPr="00C72952">
        <w:rPr>
          <w:rFonts w:ascii="Times New Roman" w:eastAsia="Times New Roman" w:hAnsi="Times New Roman" w:cs="Times New Roman"/>
          <w:color w:val="000000" w:themeColor="text1"/>
        </w:rPr>
        <w:t>)</w:t>
      </w:r>
    </w:p>
    <w:p w14:paraId="686A9AA0" w14:textId="16E863B1" w:rsidR="00980E71" w:rsidRPr="00980E71" w:rsidRDefault="00980E71" w:rsidP="3430C036">
      <w:pPr>
        <w:spacing w:before="240" w:after="240" w:line="360" w:lineRule="auto"/>
        <w:rPr>
          <w:rFonts w:ascii="Times New Roman" w:eastAsia="Times New Roman" w:hAnsi="Times New Roman" w:cs="Times New Roman"/>
          <w:b/>
          <w:color w:val="000000" w:themeColor="text1"/>
        </w:rPr>
      </w:pPr>
    </w:p>
    <w:p w14:paraId="4C8DDA75" w14:textId="59CA4D1D" w:rsidR="00114B5C" w:rsidRPr="00C72952" w:rsidRDefault="00114B5C" w:rsidP="3430C036">
      <w:pPr>
        <w:spacing w:before="240" w:after="240" w:line="360" w:lineRule="auto"/>
        <w:rPr>
          <w:rFonts w:ascii="Times New Roman" w:eastAsia="Times New Roman" w:hAnsi="Times New Roman" w:cs="Times New Roman"/>
          <w:color w:val="000000" w:themeColor="text1"/>
        </w:rPr>
      </w:pPr>
    </w:p>
    <w:p w14:paraId="19A921B7" w14:textId="77777777" w:rsidR="003708A8" w:rsidRDefault="003708A8" w:rsidP="003708A8">
      <w:pPr>
        <w:jc w:val="center"/>
        <w:rPr>
          <w:rFonts w:ascii="Times New Roman" w:hAnsi="Times New Roman" w:cs="Times New Roman"/>
        </w:rPr>
      </w:pPr>
      <w:r w:rsidRPr="003708A8">
        <w:rPr>
          <w:rFonts w:ascii="Times New Roman" w:hAnsi="Times New Roman" w:cs="Times New Roman"/>
        </w:rPr>
        <w:t>TESTING AND RESEARCH BASE OF VOLUME</w:t>
      </w:r>
    </w:p>
    <w:p w14:paraId="139093F1" w14:textId="087F1B03" w:rsidR="003708A8" w:rsidRPr="003708A8" w:rsidRDefault="003708A8" w:rsidP="003708A8">
      <w:pPr>
        <w:jc w:val="center"/>
        <w:rPr>
          <w:rFonts w:ascii="Times New Roman" w:hAnsi="Times New Roman" w:cs="Times New Roman"/>
        </w:rPr>
      </w:pPr>
      <w:r w:rsidRPr="003708A8">
        <w:rPr>
          <w:rFonts w:ascii="Times New Roman" w:hAnsi="Times New Roman" w:cs="Times New Roman"/>
        </w:rPr>
        <w:t xml:space="preserve"> EXTINGUISHING DEVICES IN UKRAINE</w:t>
      </w:r>
    </w:p>
    <w:p w14:paraId="1B3C03EF" w14:textId="7FC0A432" w:rsidR="00114B5C" w:rsidRPr="00C72952" w:rsidRDefault="0AC20995" w:rsidP="3430C036">
      <w:pPr>
        <w:spacing w:after="0" w:line="240" w:lineRule="auto"/>
        <w:ind w:firstLine="567"/>
        <w:jc w:val="both"/>
        <w:rPr>
          <w:rFonts w:ascii="Times New Roman" w:eastAsia="Times New Roman" w:hAnsi="Times New Roman" w:cs="Times New Roman"/>
          <w:color w:val="000000" w:themeColor="text1"/>
          <w:lang w:val="en-US"/>
        </w:rPr>
      </w:pPr>
      <w:r w:rsidRPr="00C72952">
        <w:rPr>
          <w:rFonts w:ascii="Times New Roman" w:eastAsia="Times New Roman" w:hAnsi="Times New Roman" w:cs="Times New Roman"/>
          <w:color w:val="000000" w:themeColor="text1"/>
          <w:lang w:val="en-US"/>
        </w:rPr>
        <w:t>This article addresses the current challenge of establishing and developing a testing and research infrastructure for total flooding fire suppression systems in Ukraine. Effective fire suppression in enclosed spaces is complicated by the need to ensure uniform distribution of extinguishing agents and maintain optimal concentration throughout the volume. Partitions, structural elements, and air circulation limitations significantly affect the dispersion of the extinguishing medium, preventing complete fire suppression. Existing testing methodologies do not account for these spatial factors and do not accurately reflect real operational conditions.</w:t>
      </w:r>
    </w:p>
    <w:p w14:paraId="03ADB1E4" w14:textId="789A34DA" w:rsidR="00114B5C" w:rsidRPr="00C72952" w:rsidRDefault="0AC20995" w:rsidP="3430C036">
      <w:pPr>
        <w:spacing w:after="0" w:line="240" w:lineRule="auto"/>
        <w:ind w:firstLine="567"/>
        <w:jc w:val="both"/>
        <w:rPr>
          <w:rFonts w:ascii="Times New Roman" w:eastAsia="Times New Roman" w:hAnsi="Times New Roman" w:cs="Times New Roman"/>
          <w:color w:val="000000" w:themeColor="text1"/>
          <w:lang w:val="en-US"/>
        </w:rPr>
      </w:pPr>
      <w:r w:rsidRPr="00C72952">
        <w:rPr>
          <w:rFonts w:ascii="Times New Roman" w:eastAsia="Times New Roman" w:hAnsi="Times New Roman" w:cs="Times New Roman"/>
          <w:color w:val="000000" w:themeColor="text1"/>
          <w:lang w:val="en-US"/>
        </w:rPr>
        <w:t>The aim of this study is to analyze the current regulatory framework and scientific literature on the fire-extinguishing and flame-retardant properties of dispersed agents, identify shortcomings in existing testing methods, and provide recommendations for their improvement. It was found that current standards do not consider the distribution of extinguishing agents in complex spaces. Aerosol systems provide high concentration stability but do not ensure uniform particle distribution in partitioned areas. Powder systems have a short duration of action due to rapid particle settling, while gaseous systems achieve uniform space coverage but require precise calculation of delivery parameters. Furthermore, ISO, EN, and NFPA standards are not always adapted to national operational conditions, highlighting the need for a dedicated testing and research infrastructure to evaluate the effectiveness of total flooding systems in rooms of varying geometries.</w:t>
      </w:r>
    </w:p>
    <w:p w14:paraId="7697EFDF" w14:textId="7F8DD402" w:rsidR="00114B5C" w:rsidRPr="00C72952" w:rsidRDefault="0AC20995" w:rsidP="3430C036">
      <w:pPr>
        <w:spacing w:after="0" w:line="240" w:lineRule="auto"/>
        <w:ind w:firstLine="567"/>
        <w:jc w:val="both"/>
        <w:rPr>
          <w:rFonts w:ascii="Times New Roman" w:eastAsia="Times New Roman" w:hAnsi="Times New Roman" w:cs="Times New Roman"/>
          <w:color w:val="000000" w:themeColor="text1"/>
          <w:lang w:val="en"/>
        </w:rPr>
      </w:pPr>
      <w:r w:rsidRPr="00C72952">
        <w:rPr>
          <w:rFonts w:ascii="Times New Roman" w:eastAsia="Times New Roman" w:hAnsi="Times New Roman" w:cs="Times New Roman"/>
          <w:color w:val="000000" w:themeColor="text1"/>
          <w:lang w:val="en"/>
        </w:rPr>
        <w:t>The results can inform the development of new regulations, enhance the reliability of fire protection systems, and improve evaluation methodologies for extinguishing agents. They provide a scientific foundation for modern approaches to classifying total flooding fire suppression systems. Future research will focus on experimental validation of theoretical conclusions and the implementation of new performance assessment criteria.</w:t>
      </w:r>
    </w:p>
    <w:p w14:paraId="0760B2C9" w14:textId="52E428C1" w:rsidR="00114B5C" w:rsidRPr="00C72952" w:rsidRDefault="00114B5C" w:rsidP="3430C036">
      <w:pPr>
        <w:spacing w:after="0" w:line="240" w:lineRule="auto"/>
        <w:ind w:firstLine="567"/>
        <w:jc w:val="both"/>
        <w:rPr>
          <w:rFonts w:ascii="Times New Roman" w:eastAsia="Times New Roman" w:hAnsi="Times New Roman" w:cs="Times New Roman"/>
          <w:color w:val="000000" w:themeColor="text1"/>
          <w:lang w:val="en"/>
        </w:rPr>
      </w:pPr>
    </w:p>
    <w:p w14:paraId="232366C9" w14:textId="7544EDA3" w:rsidR="00114B5C" w:rsidRPr="00C72952" w:rsidRDefault="0AC20995" w:rsidP="3430C036">
      <w:pPr>
        <w:spacing w:after="0" w:line="240" w:lineRule="auto"/>
        <w:ind w:firstLine="567"/>
        <w:jc w:val="both"/>
        <w:rPr>
          <w:rFonts w:ascii="Times New Roman" w:eastAsia="Times New Roman" w:hAnsi="Times New Roman" w:cs="Times New Roman"/>
          <w:color w:val="000000" w:themeColor="text1"/>
          <w:lang w:val="en"/>
        </w:rPr>
      </w:pPr>
      <w:r w:rsidRPr="00C72952">
        <w:rPr>
          <w:rFonts w:ascii="Times New Roman" w:eastAsia="Times New Roman" w:hAnsi="Times New Roman" w:cs="Times New Roman"/>
          <w:b/>
          <w:bCs/>
          <w:color w:val="000000" w:themeColor="text1"/>
          <w:lang w:val="en-US"/>
        </w:rPr>
        <w:t>Keywords:</w:t>
      </w:r>
      <w:r w:rsidRPr="00C72952">
        <w:rPr>
          <w:rFonts w:ascii="Times New Roman" w:eastAsia="Times New Roman" w:hAnsi="Times New Roman" w:cs="Times New Roman"/>
          <w:color w:val="000000" w:themeColor="text1"/>
          <w:lang w:val="en-US"/>
        </w:rPr>
        <w:t xml:space="preserve"> volume extinguishing, test and research base, gas, powder and aerosol fire extinguishing systems.</w:t>
      </w:r>
    </w:p>
    <w:p w14:paraId="148AF878" w14:textId="7604389D" w:rsidR="00114B5C" w:rsidRPr="00C72952" w:rsidRDefault="00114B5C" w:rsidP="3430C036">
      <w:pPr>
        <w:spacing w:after="0" w:line="240" w:lineRule="auto"/>
        <w:ind w:firstLine="567"/>
        <w:jc w:val="both"/>
        <w:rPr>
          <w:rFonts w:ascii="Times New Roman" w:eastAsia="Times New Roman" w:hAnsi="Times New Roman" w:cs="Times New Roman"/>
          <w:color w:val="000000" w:themeColor="text1"/>
          <w:lang w:val="en"/>
        </w:rPr>
      </w:pPr>
    </w:p>
    <w:p w14:paraId="643CDA85" w14:textId="2CD695D0" w:rsidR="00114B5C" w:rsidRPr="00C72952" w:rsidRDefault="00114B5C" w:rsidP="3430C036">
      <w:pPr>
        <w:spacing w:after="0" w:line="240" w:lineRule="auto"/>
        <w:ind w:firstLine="567"/>
        <w:contextualSpacing/>
        <w:jc w:val="both"/>
        <w:rPr>
          <w:rFonts w:ascii="Times New Roman" w:eastAsia="Times New Roman" w:hAnsi="Times New Roman" w:cs="Times New Roman"/>
          <w:color w:val="000000" w:themeColor="text1"/>
          <w:lang w:val="en"/>
        </w:rPr>
      </w:pPr>
    </w:p>
    <w:sectPr w:rsidR="00114B5C" w:rsidRPr="00C7295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11A975" w14:textId="77777777" w:rsidR="002127EC" w:rsidRDefault="002127EC">
      <w:pPr>
        <w:spacing w:line="240" w:lineRule="auto"/>
      </w:pPr>
      <w:r>
        <w:separator/>
      </w:r>
    </w:p>
  </w:endnote>
  <w:endnote w:type="continuationSeparator" w:id="0">
    <w:p w14:paraId="53B8EE6F" w14:textId="77777777" w:rsidR="002127EC" w:rsidRDefault="002127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altName w:val="Microsoft YaHei"/>
    <w:charset w:val="86"/>
    <w:family w:val="swiss"/>
    <w:pitch w:val="default"/>
    <w:sig w:usb0="00000000"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8D11BF" w14:textId="77777777" w:rsidR="002127EC" w:rsidRDefault="002127EC">
      <w:pPr>
        <w:spacing w:after="0"/>
      </w:pPr>
      <w:r>
        <w:separator/>
      </w:r>
    </w:p>
  </w:footnote>
  <w:footnote w:type="continuationSeparator" w:id="0">
    <w:p w14:paraId="46B1502B" w14:textId="77777777" w:rsidR="002127EC" w:rsidRDefault="002127E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4111"/>
    <w:multiLevelType w:val="hybridMultilevel"/>
    <w:tmpl w:val="C5FCF8FA"/>
    <w:lvl w:ilvl="0" w:tplc="12242E60">
      <w:start w:val="1"/>
      <w:numFmt w:val="decimal"/>
      <w:lvlText w:val="%1."/>
      <w:lvlJc w:val="left"/>
      <w:pPr>
        <w:ind w:left="720" w:hanging="360"/>
      </w:pPr>
    </w:lvl>
    <w:lvl w:ilvl="1" w:tplc="9F02846C">
      <w:start w:val="1"/>
      <w:numFmt w:val="lowerLetter"/>
      <w:lvlText w:val="%2."/>
      <w:lvlJc w:val="left"/>
      <w:pPr>
        <w:ind w:left="1440" w:hanging="360"/>
      </w:pPr>
    </w:lvl>
    <w:lvl w:ilvl="2" w:tplc="B7FA7930">
      <w:start w:val="1"/>
      <w:numFmt w:val="lowerRoman"/>
      <w:lvlText w:val="%3."/>
      <w:lvlJc w:val="right"/>
      <w:pPr>
        <w:ind w:left="2160" w:hanging="180"/>
      </w:pPr>
    </w:lvl>
    <w:lvl w:ilvl="3" w:tplc="A59A947E">
      <w:start w:val="1"/>
      <w:numFmt w:val="decimal"/>
      <w:lvlText w:val="%4."/>
      <w:lvlJc w:val="left"/>
      <w:pPr>
        <w:ind w:left="2880" w:hanging="360"/>
      </w:pPr>
    </w:lvl>
    <w:lvl w:ilvl="4" w:tplc="12EC2D80">
      <w:start w:val="1"/>
      <w:numFmt w:val="lowerLetter"/>
      <w:lvlText w:val="%5."/>
      <w:lvlJc w:val="left"/>
      <w:pPr>
        <w:ind w:left="3600" w:hanging="360"/>
      </w:pPr>
    </w:lvl>
    <w:lvl w:ilvl="5" w:tplc="D280FD00">
      <w:start w:val="1"/>
      <w:numFmt w:val="lowerRoman"/>
      <w:lvlText w:val="%6."/>
      <w:lvlJc w:val="right"/>
      <w:pPr>
        <w:ind w:left="4320" w:hanging="180"/>
      </w:pPr>
    </w:lvl>
    <w:lvl w:ilvl="6" w:tplc="B3AC5C64">
      <w:start w:val="1"/>
      <w:numFmt w:val="decimal"/>
      <w:lvlText w:val="%7."/>
      <w:lvlJc w:val="left"/>
      <w:pPr>
        <w:ind w:left="5040" w:hanging="360"/>
      </w:pPr>
    </w:lvl>
    <w:lvl w:ilvl="7" w:tplc="FD5655E4">
      <w:start w:val="1"/>
      <w:numFmt w:val="lowerLetter"/>
      <w:lvlText w:val="%8."/>
      <w:lvlJc w:val="left"/>
      <w:pPr>
        <w:ind w:left="5760" w:hanging="360"/>
      </w:pPr>
    </w:lvl>
    <w:lvl w:ilvl="8" w:tplc="8C226F7E">
      <w:start w:val="1"/>
      <w:numFmt w:val="lowerRoman"/>
      <w:lvlText w:val="%9."/>
      <w:lvlJc w:val="right"/>
      <w:pPr>
        <w:ind w:left="6480" w:hanging="180"/>
      </w:pPr>
    </w:lvl>
  </w:abstractNum>
  <w:abstractNum w:abstractNumId="1">
    <w:nsid w:val="0CD0A646"/>
    <w:multiLevelType w:val="hybridMultilevel"/>
    <w:tmpl w:val="C7688174"/>
    <w:lvl w:ilvl="0" w:tplc="9F4EEBC0">
      <w:start w:val="1"/>
      <w:numFmt w:val="bullet"/>
      <w:lvlText w:val=""/>
      <w:lvlJc w:val="left"/>
      <w:pPr>
        <w:ind w:left="720" w:hanging="360"/>
      </w:pPr>
      <w:rPr>
        <w:rFonts w:ascii="Symbol" w:hAnsi="Symbol" w:hint="default"/>
      </w:rPr>
    </w:lvl>
    <w:lvl w:ilvl="1" w:tplc="CCF2E668">
      <w:start w:val="1"/>
      <w:numFmt w:val="bullet"/>
      <w:lvlText w:val="o"/>
      <w:lvlJc w:val="left"/>
      <w:pPr>
        <w:ind w:left="1440" w:hanging="360"/>
      </w:pPr>
      <w:rPr>
        <w:rFonts w:ascii="Courier New" w:hAnsi="Courier New" w:hint="default"/>
      </w:rPr>
    </w:lvl>
    <w:lvl w:ilvl="2" w:tplc="B94C197A">
      <w:start w:val="1"/>
      <w:numFmt w:val="bullet"/>
      <w:lvlText w:val=""/>
      <w:lvlJc w:val="left"/>
      <w:pPr>
        <w:ind w:left="2160" w:hanging="360"/>
      </w:pPr>
      <w:rPr>
        <w:rFonts w:ascii="Wingdings" w:hAnsi="Wingdings" w:hint="default"/>
      </w:rPr>
    </w:lvl>
    <w:lvl w:ilvl="3" w:tplc="DE448BB0">
      <w:start w:val="1"/>
      <w:numFmt w:val="bullet"/>
      <w:lvlText w:val=""/>
      <w:lvlJc w:val="left"/>
      <w:pPr>
        <w:ind w:left="2880" w:hanging="360"/>
      </w:pPr>
      <w:rPr>
        <w:rFonts w:ascii="Symbol" w:hAnsi="Symbol" w:hint="default"/>
      </w:rPr>
    </w:lvl>
    <w:lvl w:ilvl="4" w:tplc="562066C6">
      <w:start w:val="1"/>
      <w:numFmt w:val="bullet"/>
      <w:lvlText w:val="o"/>
      <w:lvlJc w:val="left"/>
      <w:pPr>
        <w:ind w:left="3600" w:hanging="360"/>
      </w:pPr>
      <w:rPr>
        <w:rFonts w:ascii="Courier New" w:hAnsi="Courier New" w:hint="default"/>
      </w:rPr>
    </w:lvl>
    <w:lvl w:ilvl="5" w:tplc="4D6EC6D8">
      <w:start w:val="1"/>
      <w:numFmt w:val="bullet"/>
      <w:lvlText w:val=""/>
      <w:lvlJc w:val="left"/>
      <w:pPr>
        <w:ind w:left="4320" w:hanging="360"/>
      </w:pPr>
      <w:rPr>
        <w:rFonts w:ascii="Wingdings" w:hAnsi="Wingdings" w:hint="default"/>
      </w:rPr>
    </w:lvl>
    <w:lvl w:ilvl="6" w:tplc="DFB0E60A">
      <w:start w:val="1"/>
      <w:numFmt w:val="bullet"/>
      <w:lvlText w:val=""/>
      <w:lvlJc w:val="left"/>
      <w:pPr>
        <w:ind w:left="5040" w:hanging="360"/>
      </w:pPr>
      <w:rPr>
        <w:rFonts w:ascii="Symbol" w:hAnsi="Symbol" w:hint="default"/>
      </w:rPr>
    </w:lvl>
    <w:lvl w:ilvl="7" w:tplc="8FDED67C">
      <w:start w:val="1"/>
      <w:numFmt w:val="bullet"/>
      <w:lvlText w:val="o"/>
      <w:lvlJc w:val="left"/>
      <w:pPr>
        <w:ind w:left="5760" w:hanging="360"/>
      </w:pPr>
      <w:rPr>
        <w:rFonts w:ascii="Courier New" w:hAnsi="Courier New" w:hint="default"/>
      </w:rPr>
    </w:lvl>
    <w:lvl w:ilvl="8" w:tplc="F70C52DA">
      <w:start w:val="1"/>
      <w:numFmt w:val="bullet"/>
      <w:lvlText w:val=""/>
      <w:lvlJc w:val="left"/>
      <w:pPr>
        <w:ind w:left="6480" w:hanging="360"/>
      </w:pPr>
      <w:rPr>
        <w:rFonts w:ascii="Wingdings" w:hAnsi="Wingdings" w:hint="default"/>
      </w:rPr>
    </w:lvl>
  </w:abstractNum>
  <w:abstractNum w:abstractNumId="2">
    <w:nsid w:val="134A4854"/>
    <w:multiLevelType w:val="hybridMultilevel"/>
    <w:tmpl w:val="08DA0EE6"/>
    <w:lvl w:ilvl="0" w:tplc="0804D8C0">
      <w:start w:val="1"/>
      <w:numFmt w:val="bullet"/>
      <w:lvlText w:val=""/>
      <w:lvlJc w:val="left"/>
      <w:pPr>
        <w:ind w:left="720" w:hanging="360"/>
      </w:pPr>
      <w:rPr>
        <w:rFonts w:ascii="Symbol" w:hAnsi="Symbol" w:hint="default"/>
      </w:rPr>
    </w:lvl>
    <w:lvl w:ilvl="1" w:tplc="D632F090">
      <w:start w:val="1"/>
      <w:numFmt w:val="bullet"/>
      <w:lvlText w:val="o"/>
      <w:lvlJc w:val="left"/>
      <w:pPr>
        <w:ind w:left="1440" w:hanging="360"/>
      </w:pPr>
      <w:rPr>
        <w:rFonts w:ascii="Courier New" w:hAnsi="Courier New" w:hint="default"/>
      </w:rPr>
    </w:lvl>
    <w:lvl w:ilvl="2" w:tplc="72B87D16">
      <w:start w:val="1"/>
      <w:numFmt w:val="bullet"/>
      <w:lvlText w:val=""/>
      <w:lvlJc w:val="left"/>
      <w:pPr>
        <w:ind w:left="2160" w:hanging="360"/>
      </w:pPr>
      <w:rPr>
        <w:rFonts w:ascii="Wingdings" w:hAnsi="Wingdings" w:hint="default"/>
      </w:rPr>
    </w:lvl>
    <w:lvl w:ilvl="3" w:tplc="52260638">
      <w:start w:val="1"/>
      <w:numFmt w:val="bullet"/>
      <w:lvlText w:val=""/>
      <w:lvlJc w:val="left"/>
      <w:pPr>
        <w:ind w:left="2880" w:hanging="360"/>
      </w:pPr>
      <w:rPr>
        <w:rFonts w:ascii="Symbol" w:hAnsi="Symbol" w:hint="default"/>
      </w:rPr>
    </w:lvl>
    <w:lvl w:ilvl="4" w:tplc="DA9E8988">
      <w:start w:val="1"/>
      <w:numFmt w:val="bullet"/>
      <w:lvlText w:val="o"/>
      <w:lvlJc w:val="left"/>
      <w:pPr>
        <w:ind w:left="3600" w:hanging="360"/>
      </w:pPr>
      <w:rPr>
        <w:rFonts w:ascii="Courier New" w:hAnsi="Courier New" w:hint="default"/>
      </w:rPr>
    </w:lvl>
    <w:lvl w:ilvl="5" w:tplc="B986D64C">
      <w:start w:val="1"/>
      <w:numFmt w:val="bullet"/>
      <w:lvlText w:val=""/>
      <w:lvlJc w:val="left"/>
      <w:pPr>
        <w:ind w:left="4320" w:hanging="360"/>
      </w:pPr>
      <w:rPr>
        <w:rFonts w:ascii="Wingdings" w:hAnsi="Wingdings" w:hint="default"/>
      </w:rPr>
    </w:lvl>
    <w:lvl w:ilvl="6" w:tplc="B5061442">
      <w:start w:val="1"/>
      <w:numFmt w:val="bullet"/>
      <w:lvlText w:val=""/>
      <w:lvlJc w:val="left"/>
      <w:pPr>
        <w:ind w:left="5040" w:hanging="360"/>
      </w:pPr>
      <w:rPr>
        <w:rFonts w:ascii="Symbol" w:hAnsi="Symbol" w:hint="default"/>
      </w:rPr>
    </w:lvl>
    <w:lvl w:ilvl="7" w:tplc="64DA8C16">
      <w:start w:val="1"/>
      <w:numFmt w:val="bullet"/>
      <w:lvlText w:val="o"/>
      <w:lvlJc w:val="left"/>
      <w:pPr>
        <w:ind w:left="5760" w:hanging="360"/>
      </w:pPr>
      <w:rPr>
        <w:rFonts w:ascii="Courier New" w:hAnsi="Courier New" w:hint="default"/>
      </w:rPr>
    </w:lvl>
    <w:lvl w:ilvl="8" w:tplc="C576E5A0">
      <w:start w:val="1"/>
      <w:numFmt w:val="bullet"/>
      <w:lvlText w:val=""/>
      <w:lvlJc w:val="left"/>
      <w:pPr>
        <w:ind w:left="6480" w:hanging="360"/>
      </w:pPr>
      <w:rPr>
        <w:rFonts w:ascii="Wingdings" w:hAnsi="Wingdings" w:hint="default"/>
      </w:rPr>
    </w:lvl>
  </w:abstractNum>
  <w:abstractNum w:abstractNumId="3">
    <w:nsid w:val="4871CB6A"/>
    <w:multiLevelType w:val="hybridMultilevel"/>
    <w:tmpl w:val="E8CA4988"/>
    <w:lvl w:ilvl="0" w:tplc="58FADE7E">
      <w:start w:val="1"/>
      <w:numFmt w:val="bullet"/>
      <w:lvlText w:val=""/>
      <w:lvlJc w:val="left"/>
      <w:pPr>
        <w:ind w:left="720" w:hanging="360"/>
      </w:pPr>
      <w:rPr>
        <w:rFonts w:ascii="Symbol" w:hAnsi="Symbol" w:hint="default"/>
      </w:rPr>
    </w:lvl>
    <w:lvl w:ilvl="1" w:tplc="13562350">
      <w:start w:val="1"/>
      <w:numFmt w:val="bullet"/>
      <w:lvlText w:val="o"/>
      <w:lvlJc w:val="left"/>
      <w:pPr>
        <w:ind w:left="1440" w:hanging="360"/>
      </w:pPr>
      <w:rPr>
        <w:rFonts w:ascii="Courier New" w:hAnsi="Courier New" w:hint="default"/>
      </w:rPr>
    </w:lvl>
    <w:lvl w:ilvl="2" w:tplc="3042C226">
      <w:start w:val="1"/>
      <w:numFmt w:val="bullet"/>
      <w:lvlText w:val=""/>
      <w:lvlJc w:val="left"/>
      <w:pPr>
        <w:ind w:left="2160" w:hanging="360"/>
      </w:pPr>
      <w:rPr>
        <w:rFonts w:ascii="Wingdings" w:hAnsi="Wingdings" w:hint="default"/>
      </w:rPr>
    </w:lvl>
    <w:lvl w:ilvl="3" w:tplc="DC60EF90">
      <w:start w:val="1"/>
      <w:numFmt w:val="bullet"/>
      <w:lvlText w:val=""/>
      <w:lvlJc w:val="left"/>
      <w:pPr>
        <w:ind w:left="2880" w:hanging="360"/>
      </w:pPr>
      <w:rPr>
        <w:rFonts w:ascii="Symbol" w:hAnsi="Symbol" w:hint="default"/>
      </w:rPr>
    </w:lvl>
    <w:lvl w:ilvl="4" w:tplc="F4AC1EDE">
      <w:start w:val="1"/>
      <w:numFmt w:val="bullet"/>
      <w:lvlText w:val="o"/>
      <w:lvlJc w:val="left"/>
      <w:pPr>
        <w:ind w:left="3600" w:hanging="360"/>
      </w:pPr>
      <w:rPr>
        <w:rFonts w:ascii="Courier New" w:hAnsi="Courier New" w:hint="default"/>
      </w:rPr>
    </w:lvl>
    <w:lvl w:ilvl="5" w:tplc="7DF466D0">
      <w:start w:val="1"/>
      <w:numFmt w:val="bullet"/>
      <w:lvlText w:val=""/>
      <w:lvlJc w:val="left"/>
      <w:pPr>
        <w:ind w:left="4320" w:hanging="360"/>
      </w:pPr>
      <w:rPr>
        <w:rFonts w:ascii="Wingdings" w:hAnsi="Wingdings" w:hint="default"/>
      </w:rPr>
    </w:lvl>
    <w:lvl w:ilvl="6" w:tplc="B1220C8A">
      <w:start w:val="1"/>
      <w:numFmt w:val="bullet"/>
      <w:lvlText w:val=""/>
      <w:lvlJc w:val="left"/>
      <w:pPr>
        <w:ind w:left="5040" w:hanging="360"/>
      </w:pPr>
      <w:rPr>
        <w:rFonts w:ascii="Symbol" w:hAnsi="Symbol" w:hint="default"/>
      </w:rPr>
    </w:lvl>
    <w:lvl w:ilvl="7" w:tplc="51BC20DE">
      <w:start w:val="1"/>
      <w:numFmt w:val="bullet"/>
      <w:lvlText w:val="o"/>
      <w:lvlJc w:val="left"/>
      <w:pPr>
        <w:ind w:left="5760" w:hanging="360"/>
      </w:pPr>
      <w:rPr>
        <w:rFonts w:ascii="Courier New" w:hAnsi="Courier New" w:hint="default"/>
      </w:rPr>
    </w:lvl>
    <w:lvl w:ilvl="8" w:tplc="31D06B42">
      <w:start w:val="1"/>
      <w:numFmt w:val="bullet"/>
      <w:lvlText w:val=""/>
      <w:lvlJc w:val="left"/>
      <w:pPr>
        <w:ind w:left="6480" w:hanging="360"/>
      </w:pPr>
      <w:rPr>
        <w:rFonts w:ascii="Wingdings" w:hAnsi="Wingdings" w:hint="default"/>
      </w:rPr>
    </w:lvl>
  </w:abstractNum>
  <w:abstractNum w:abstractNumId="4">
    <w:nsid w:val="5313B198"/>
    <w:multiLevelType w:val="hybridMultilevel"/>
    <w:tmpl w:val="02E08848"/>
    <w:lvl w:ilvl="0" w:tplc="965E3C10">
      <w:start w:val="1"/>
      <w:numFmt w:val="decimal"/>
      <w:lvlText w:val="%1."/>
      <w:lvlJc w:val="left"/>
      <w:pPr>
        <w:ind w:left="720" w:hanging="360"/>
      </w:pPr>
    </w:lvl>
    <w:lvl w:ilvl="1" w:tplc="BFFA6C84">
      <w:start w:val="1"/>
      <w:numFmt w:val="lowerLetter"/>
      <w:lvlText w:val="%2."/>
      <w:lvlJc w:val="left"/>
      <w:pPr>
        <w:ind w:left="1440" w:hanging="360"/>
      </w:pPr>
    </w:lvl>
    <w:lvl w:ilvl="2" w:tplc="8F424C56">
      <w:start w:val="1"/>
      <w:numFmt w:val="lowerRoman"/>
      <w:lvlText w:val="%3."/>
      <w:lvlJc w:val="right"/>
      <w:pPr>
        <w:ind w:left="2160" w:hanging="180"/>
      </w:pPr>
    </w:lvl>
    <w:lvl w:ilvl="3" w:tplc="14149DA0">
      <w:start w:val="1"/>
      <w:numFmt w:val="decimal"/>
      <w:lvlText w:val="%4."/>
      <w:lvlJc w:val="left"/>
      <w:pPr>
        <w:ind w:left="2880" w:hanging="360"/>
      </w:pPr>
    </w:lvl>
    <w:lvl w:ilvl="4" w:tplc="7C94B340">
      <w:start w:val="1"/>
      <w:numFmt w:val="lowerLetter"/>
      <w:lvlText w:val="%5."/>
      <w:lvlJc w:val="left"/>
      <w:pPr>
        <w:ind w:left="3600" w:hanging="360"/>
      </w:pPr>
    </w:lvl>
    <w:lvl w:ilvl="5" w:tplc="4A98351C">
      <w:start w:val="1"/>
      <w:numFmt w:val="lowerRoman"/>
      <w:lvlText w:val="%6."/>
      <w:lvlJc w:val="right"/>
      <w:pPr>
        <w:ind w:left="4320" w:hanging="180"/>
      </w:pPr>
    </w:lvl>
    <w:lvl w:ilvl="6" w:tplc="E25470AE">
      <w:start w:val="1"/>
      <w:numFmt w:val="decimal"/>
      <w:lvlText w:val="%7."/>
      <w:lvlJc w:val="left"/>
      <w:pPr>
        <w:ind w:left="5040" w:hanging="360"/>
      </w:pPr>
    </w:lvl>
    <w:lvl w:ilvl="7" w:tplc="5E0EBCB6">
      <w:start w:val="1"/>
      <w:numFmt w:val="lowerLetter"/>
      <w:lvlText w:val="%8."/>
      <w:lvlJc w:val="left"/>
      <w:pPr>
        <w:ind w:left="5760" w:hanging="360"/>
      </w:pPr>
    </w:lvl>
    <w:lvl w:ilvl="8" w:tplc="0526FC6A">
      <w:start w:val="1"/>
      <w:numFmt w:val="lowerRoman"/>
      <w:lvlText w:val="%9."/>
      <w:lvlJc w:val="right"/>
      <w:pPr>
        <w:ind w:left="6480" w:hanging="180"/>
      </w:pPr>
    </w:lvl>
  </w:abstractNum>
  <w:abstractNum w:abstractNumId="5">
    <w:nsid w:val="57D206AE"/>
    <w:multiLevelType w:val="hybridMultilevel"/>
    <w:tmpl w:val="57D206AE"/>
    <w:lvl w:ilvl="0" w:tplc="1B76DB40">
      <w:start w:val="1"/>
      <w:numFmt w:val="decimal"/>
      <w:lvlText w:val="%1."/>
      <w:lvlJc w:val="left"/>
      <w:pPr>
        <w:ind w:left="720" w:hanging="360"/>
      </w:pPr>
    </w:lvl>
    <w:lvl w:ilvl="1" w:tplc="DB784C9A">
      <w:start w:val="1"/>
      <w:numFmt w:val="lowerLetter"/>
      <w:lvlText w:val="%2."/>
      <w:lvlJc w:val="left"/>
      <w:pPr>
        <w:ind w:left="1440" w:hanging="360"/>
      </w:pPr>
    </w:lvl>
    <w:lvl w:ilvl="2" w:tplc="497816C6">
      <w:start w:val="1"/>
      <w:numFmt w:val="lowerRoman"/>
      <w:lvlText w:val="%3."/>
      <w:lvlJc w:val="right"/>
      <w:pPr>
        <w:ind w:left="2160" w:hanging="180"/>
      </w:pPr>
    </w:lvl>
    <w:lvl w:ilvl="3" w:tplc="27C40044">
      <w:start w:val="1"/>
      <w:numFmt w:val="decimal"/>
      <w:lvlText w:val="%4."/>
      <w:lvlJc w:val="left"/>
      <w:pPr>
        <w:ind w:left="2880" w:hanging="360"/>
      </w:pPr>
    </w:lvl>
    <w:lvl w:ilvl="4" w:tplc="80803F98">
      <w:start w:val="1"/>
      <w:numFmt w:val="lowerLetter"/>
      <w:lvlText w:val="%5."/>
      <w:lvlJc w:val="left"/>
      <w:pPr>
        <w:ind w:left="3600" w:hanging="360"/>
      </w:pPr>
    </w:lvl>
    <w:lvl w:ilvl="5" w:tplc="1B304DBC">
      <w:start w:val="1"/>
      <w:numFmt w:val="lowerRoman"/>
      <w:lvlText w:val="%6."/>
      <w:lvlJc w:val="right"/>
      <w:pPr>
        <w:ind w:left="4320" w:hanging="180"/>
      </w:pPr>
    </w:lvl>
    <w:lvl w:ilvl="6" w:tplc="7F2C2704">
      <w:start w:val="1"/>
      <w:numFmt w:val="decimal"/>
      <w:lvlText w:val="%7."/>
      <w:lvlJc w:val="left"/>
      <w:pPr>
        <w:ind w:left="5040" w:hanging="360"/>
      </w:pPr>
    </w:lvl>
    <w:lvl w:ilvl="7" w:tplc="26107A48">
      <w:start w:val="1"/>
      <w:numFmt w:val="lowerLetter"/>
      <w:lvlText w:val="%8."/>
      <w:lvlJc w:val="left"/>
      <w:pPr>
        <w:ind w:left="5760" w:hanging="360"/>
      </w:pPr>
    </w:lvl>
    <w:lvl w:ilvl="8" w:tplc="BFB4E43C">
      <w:start w:val="1"/>
      <w:numFmt w:val="lowerRoman"/>
      <w:lvlText w:val="%9."/>
      <w:lvlJc w:val="right"/>
      <w:pPr>
        <w:ind w:left="6480" w:hanging="180"/>
      </w:pPr>
    </w:lvl>
  </w:abstractNum>
  <w:abstractNum w:abstractNumId="6">
    <w:nsid w:val="57ECD52B"/>
    <w:multiLevelType w:val="hybridMultilevel"/>
    <w:tmpl w:val="27FEB390"/>
    <w:lvl w:ilvl="0" w:tplc="0CA44DD0">
      <w:start w:val="1"/>
      <w:numFmt w:val="decimal"/>
      <w:lvlText w:val="%1."/>
      <w:lvlJc w:val="left"/>
      <w:pPr>
        <w:ind w:left="720" w:hanging="360"/>
      </w:pPr>
    </w:lvl>
    <w:lvl w:ilvl="1" w:tplc="A2BC96D0">
      <w:start w:val="1"/>
      <w:numFmt w:val="lowerLetter"/>
      <w:lvlText w:val="%2."/>
      <w:lvlJc w:val="left"/>
      <w:pPr>
        <w:ind w:left="1440" w:hanging="360"/>
      </w:pPr>
    </w:lvl>
    <w:lvl w:ilvl="2" w:tplc="2E1400DA">
      <w:start w:val="1"/>
      <w:numFmt w:val="lowerRoman"/>
      <w:lvlText w:val="%3."/>
      <w:lvlJc w:val="right"/>
      <w:pPr>
        <w:ind w:left="2160" w:hanging="180"/>
      </w:pPr>
    </w:lvl>
    <w:lvl w:ilvl="3" w:tplc="1FC8B296">
      <w:start w:val="1"/>
      <w:numFmt w:val="decimal"/>
      <w:lvlText w:val="%4."/>
      <w:lvlJc w:val="left"/>
      <w:pPr>
        <w:ind w:left="2880" w:hanging="360"/>
      </w:pPr>
    </w:lvl>
    <w:lvl w:ilvl="4" w:tplc="9F2CC552">
      <w:start w:val="1"/>
      <w:numFmt w:val="lowerLetter"/>
      <w:lvlText w:val="%5."/>
      <w:lvlJc w:val="left"/>
      <w:pPr>
        <w:ind w:left="3600" w:hanging="360"/>
      </w:pPr>
    </w:lvl>
    <w:lvl w:ilvl="5" w:tplc="5ACE190E">
      <w:start w:val="1"/>
      <w:numFmt w:val="lowerRoman"/>
      <w:lvlText w:val="%6."/>
      <w:lvlJc w:val="right"/>
      <w:pPr>
        <w:ind w:left="4320" w:hanging="180"/>
      </w:pPr>
    </w:lvl>
    <w:lvl w:ilvl="6" w:tplc="80DE403E">
      <w:start w:val="1"/>
      <w:numFmt w:val="decimal"/>
      <w:lvlText w:val="%7."/>
      <w:lvlJc w:val="left"/>
      <w:pPr>
        <w:ind w:left="5040" w:hanging="360"/>
      </w:pPr>
    </w:lvl>
    <w:lvl w:ilvl="7" w:tplc="0742EBB2">
      <w:start w:val="1"/>
      <w:numFmt w:val="lowerLetter"/>
      <w:lvlText w:val="%8."/>
      <w:lvlJc w:val="left"/>
      <w:pPr>
        <w:ind w:left="5760" w:hanging="360"/>
      </w:pPr>
    </w:lvl>
    <w:lvl w:ilvl="8" w:tplc="925C4ECE">
      <w:start w:val="1"/>
      <w:numFmt w:val="lowerRoman"/>
      <w:lvlText w:val="%9."/>
      <w:lvlJc w:val="right"/>
      <w:pPr>
        <w:ind w:left="6480" w:hanging="180"/>
      </w:pPr>
    </w:lvl>
  </w:abstractNum>
  <w:abstractNum w:abstractNumId="7">
    <w:nsid w:val="6C12395E"/>
    <w:multiLevelType w:val="multilevel"/>
    <w:tmpl w:val="6C12395E"/>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6"/>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E0DD71"/>
    <w:rsid w:val="DF9E4555"/>
    <w:rsid w:val="00023C5F"/>
    <w:rsid w:val="00046985"/>
    <w:rsid w:val="000F3DA8"/>
    <w:rsid w:val="00114B5C"/>
    <w:rsid w:val="001903CC"/>
    <w:rsid w:val="001A10CB"/>
    <w:rsid w:val="001D7828"/>
    <w:rsid w:val="001F30CA"/>
    <w:rsid w:val="002127EC"/>
    <w:rsid w:val="002810CE"/>
    <w:rsid w:val="002948BF"/>
    <w:rsid w:val="003708A8"/>
    <w:rsid w:val="003F6A67"/>
    <w:rsid w:val="00440305"/>
    <w:rsid w:val="005805C3"/>
    <w:rsid w:val="005B4111"/>
    <w:rsid w:val="005B4A89"/>
    <w:rsid w:val="0060BADB"/>
    <w:rsid w:val="006360BE"/>
    <w:rsid w:val="00733759"/>
    <w:rsid w:val="00744876"/>
    <w:rsid w:val="0076536E"/>
    <w:rsid w:val="007B18B5"/>
    <w:rsid w:val="007B7334"/>
    <w:rsid w:val="008D7F47"/>
    <w:rsid w:val="00980E71"/>
    <w:rsid w:val="00996EBE"/>
    <w:rsid w:val="00A0765A"/>
    <w:rsid w:val="00A3195A"/>
    <w:rsid w:val="00A670DA"/>
    <w:rsid w:val="00AE319D"/>
    <w:rsid w:val="00B30A8B"/>
    <w:rsid w:val="00B4480E"/>
    <w:rsid w:val="00B6637A"/>
    <w:rsid w:val="00C72952"/>
    <w:rsid w:val="00CD3920"/>
    <w:rsid w:val="00E96396"/>
    <w:rsid w:val="00EC5DA3"/>
    <w:rsid w:val="00EDBC90"/>
    <w:rsid w:val="011A6D2B"/>
    <w:rsid w:val="011D2581"/>
    <w:rsid w:val="01B03A3A"/>
    <w:rsid w:val="0250C7CE"/>
    <w:rsid w:val="025D0A4B"/>
    <w:rsid w:val="02DFDDA8"/>
    <w:rsid w:val="030397DC"/>
    <w:rsid w:val="037258B2"/>
    <w:rsid w:val="038E89C7"/>
    <w:rsid w:val="03C91F0A"/>
    <w:rsid w:val="03E757F1"/>
    <w:rsid w:val="04859A78"/>
    <w:rsid w:val="04DCED43"/>
    <w:rsid w:val="04ED770D"/>
    <w:rsid w:val="04EFB875"/>
    <w:rsid w:val="05F5F95C"/>
    <w:rsid w:val="0614E590"/>
    <w:rsid w:val="065ED82E"/>
    <w:rsid w:val="066FE266"/>
    <w:rsid w:val="06730205"/>
    <w:rsid w:val="06C22B58"/>
    <w:rsid w:val="06E1E8BB"/>
    <w:rsid w:val="071088E6"/>
    <w:rsid w:val="07BEFF54"/>
    <w:rsid w:val="07D17D4D"/>
    <w:rsid w:val="07F7DF8E"/>
    <w:rsid w:val="07F8EE46"/>
    <w:rsid w:val="0842211C"/>
    <w:rsid w:val="0847C35A"/>
    <w:rsid w:val="08EAC7ED"/>
    <w:rsid w:val="0920C876"/>
    <w:rsid w:val="0921734B"/>
    <w:rsid w:val="092BD461"/>
    <w:rsid w:val="095308D7"/>
    <w:rsid w:val="0967516F"/>
    <w:rsid w:val="09AACDC4"/>
    <w:rsid w:val="09CD37C5"/>
    <w:rsid w:val="0A4CBAD0"/>
    <w:rsid w:val="0A66C46E"/>
    <w:rsid w:val="0A93D87C"/>
    <w:rsid w:val="0AAE9F6F"/>
    <w:rsid w:val="0AC20995"/>
    <w:rsid w:val="0B0D451A"/>
    <w:rsid w:val="0B224263"/>
    <w:rsid w:val="0B865269"/>
    <w:rsid w:val="0B8B1274"/>
    <w:rsid w:val="0BB29809"/>
    <w:rsid w:val="0C771801"/>
    <w:rsid w:val="0C89E7D5"/>
    <w:rsid w:val="0CCC9C02"/>
    <w:rsid w:val="0D74891E"/>
    <w:rsid w:val="0DA25114"/>
    <w:rsid w:val="0DD44740"/>
    <w:rsid w:val="0DFC6E01"/>
    <w:rsid w:val="0E31389E"/>
    <w:rsid w:val="0E4D94DD"/>
    <w:rsid w:val="0E7BAC0F"/>
    <w:rsid w:val="0F36CED1"/>
    <w:rsid w:val="0F825616"/>
    <w:rsid w:val="10135685"/>
    <w:rsid w:val="105C5189"/>
    <w:rsid w:val="1060A192"/>
    <w:rsid w:val="106EE4B5"/>
    <w:rsid w:val="10F4AAE8"/>
    <w:rsid w:val="11439CF0"/>
    <w:rsid w:val="118BB04B"/>
    <w:rsid w:val="11E2776A"/>
    <w:rsid w:val="12381D38"/>
    <w:rsid w:val="1276C337"/>
    <w:rsid w:val="127C6A57"/>
    <w:rsid w:val="129A28F4"/>
    <w:rsid w:val="12FD27AE"/>
    <w:rsid w:val="13413F0E"/>
    <w:rsid w:val="13810D97"/>
    <w:rsid w:val="146609C4"/>
    <w:rsid w:val="14970B28"/>
    <w:rsid w:val="14AFB6AC"/>
    <w:rsid w:val="150C413E"/>
    <w:rsid w:val="154C6B24"/>
    <w:rsid w:val="15C0D5C9"/>
    <w:rsid w:val="15DA5513"/>
    <w:rsid w:val="15DFB0EE"/>
    <w:rsid w:val="16162DF2"/>
    <w:rsid w:val="16A17B35"/>
    <w:rsid w:val="173D66A7"/>
    <w:rsid w:val="17A7BC2B"/>
    <w:rsid w:val="17C998FD"/>
    <w:rsid w:val="17D94964"/>
    <w:rsid w:val="182DDF2A"/>
    <w:rsid w:val="1847076D"/>
    <w:rsid w:val="1859EC64"/>
    <w:rsid w:val="188D1D43"/>
    <w:rsid w:val="18AD6FBB"/>
    <w:rsid w:val="18DBA637"/>
    <w:rsid w:val="19624009"/>
    <w:rsid w:val="19F2D7A4"/>
    <w:rsid w:val="1A0DCD98"/>
    <w:rsid w:val="1AEEC51C"/>
    <w:rsid w:val="1B0F332D"/>
    <w:rsid w:val="1B60A3BF"/>
    <w:rsid w:val="1B78223B"/>
    <w:rsid w:val="1BCEDB36"/>
    <w:rsid w:val="1C31D90E"/>
    <w:rsid w:val="1C547197"/>
    <w:rsid w:val="1D2170F2"/>
    <w:rsid w:val="1D3329A6"/>
    <w:rsid w:val="1D53BBB8"/>
    <w:rsid w:val="1DA5C5F2"/>
    <w:rsid w:val="1E0D25B0"/>
    <w:rsid w:val="1E855E78"/>
    <w:rsid w:val="1EF63EDE"/>
    <w:rsid w:val="1F91C6AC"/>
    <w:rsid w:val="1FBDA4D6"/>
    <w:rsid w:val="1FC5E2F1"/>
    <w:rsid w:val="1FCB712E"/>
    <w:rsid w:val="1FEE5058"/>
    <w:rsid w:val="200F4C58"/>
    <w:rsid w:val="2098F2CA"/>
    <w:rsid w:val="20B5E6AE"/>
    <w:rsid w:val="2108D5EC"/>
    <w:rsid w:val="2152D560"/>
    <w:rsid w:val="215CA9E6"/>
    <w:rsid w:val="21908C3D"/>
    <w:rsid w:val="2199DA94"/>
    <w:rsid w:val="219A3812"/>
    <w:rsid w:val="22484CE2"/>
    <w:rsid w:val="22B144A9"/>
    <w:rsid w:val="22FC2556"/>
    <w:rsid w:val="239EC395"/>
    <w:rsid w:val="23A9DFD1"/>
    <w:rsid w:val="23CE6286"/>
    <w:rsid w:val="23CF5A14"/>
    <w:rsid w:val="23E61A80"/>
    <w:rsid w:val="23F498B6"/>
    <w:rsid w:val="244EBF66"/>
    <w:rsid w:val="251BF7FA"/>
    <w:rsid w:val="253EEBC5"/>
    <w:rsid w:val="25606A71"/>
    <w:rsid w:val="2571194F"/>
    <w:rsid w:val="25C7EC99"/>
    <w:rsid w:val="2635EE8B"/>
    <w:rsid w:val="2682F609"/>
    <w:rsid w:val="268A25AE"/>
    <w:rsid w:val="26A8A9EE"/>
    <w:rsid w:val="26C2018C"/>
    <w:rsid w:val="26D33EDE"/>
    <w:rsid w:val="26D5CEA2"/>
    <w:rsid w:val="271C9612"/>
    <w:rsid w:val="2725FD66"/>
    <w:rsid w:val="2733E8A7"/>
    <w:rsid w:val="274FFA4B"/>
    <w:rsid w:val="27691189"/>
    <w:rsid w:val="2770206D"/>
    <w:rsid w:val="27B5DE26"/>
    <w:rsid w:val="27FC4D08"/>
    <w:rsid w:val="280D2EF1"/>
    <w:rsid w:val="285AB067"/>
    <w:rsid w:val="2914D552"/>
    <w:rsid w:val="292AD16F"/>
    <w:rsid w:val="292B3F27"/>
    <w:rsid w:val="293AF90A"/>
    <w:rsid w:val="2A0DFDB8"/>
    <w:rsid w:val="2A23EBDC"/>
    <w:rsid w:val="2A7012D9"/>
    <w:rsid w:val="2ABB7443"/>
    <w:rsid w:val="2ABC8D61"/>
    <w:rsid w:val="2AC02FE8"/>
    <w:rsid w:val="2AF18637"/>
    <w:rsid w:val="2BE25459"/>
    <w:rsid w:val="2C64201D"/>
    <w:rsid w:val="2C9466C9"/>
    <w:rsid w:val="2CF8102E"/>
    <w:rsid w:val="2CFD4AD3"/>
    <w:rsid w:val="2D3EB69F"/>
    <w:rsid w:val="2D9543BC"/>
    <w:rsid w:val="2DA658E9"/>
    <w:rsid w:val="2DD614C5"/>
    <w:rsid w:val="2E12D1AA"/>
    <w:rsid w:val="2E2CC0B3"/>
    <w:rsid w:val="2E32D81F"/>
    <w:rsid w:val="2E537918"/>
    <w:rsid w:val="2E697F44"/>
    <w:rsid w:val="2E7624A6"/>
    <w:rsid w:val="2EC8FE91"/>
    <w:rsid w:val="2F9A03D5"/>
    <w:rsid w:val="2FA87128"/>
    <w:rsid w:val="2FBDDB02"/>
    <w:rsid w:val="3001FEBA"/>
    <w:rsid w:val="302B8267"/>
    <w:rsid w:val="306F7B7F"/>
    <w:rsid w:val="3129CDE0"/>
    <w:rsid w:val="3163D6A7"/>
    <w:rsid w:val="317359A8"/>
    <w:rsid w:val="31CF4B73"/>
    <w:rsid w:val="31DAA601"/>
    <w:rsid w:val="31F3C4F2"/>
    <w:rsid w:val="31FB7B12"/>
    <w:rsid w:val="327975CA"/>
    <w:rsid w:val="331C0DCC"/>
    <w:rsid w:val="33218B35"/>
    <w:rsid w:val="3339E842"/>
    <w:rsid w:val="3374BF28"/>
    <w:rsid w:val="33903BD3"/>
    <w:rsid w:val="33A53FAE"/>
    <w:rsid w:val="33E55EC9"/>
    <w:rsid w:val="33FECCF6"/>
    <w:rsid w:val="34077402"/>
    <w:rsid w:val="341905D3"/>
    <w:rsid w:val="3430C036"/>
    <w:rsid w:val="34590690"/>
    <w:rsid w:val="347E497A"/>
    <w:rsid w:val="34E8F2F0"/>
    <w:rsid w:val="34F24231"/>
    <w:rsid w:val="34F9DFFB"/>
    <w:rsid w:val="3587FD6A"/>
    <w:rsid w:val="35A7EAC8"/>
    <w:rsid w:val="35B78AAB"/>
    <w:rsid w:val="35FA401E"/>
    <w:rsid w:val="3642590E"/>
    <w:rsid w:val="375A609C"/>
    <w:rsid w:val="37868507"/>
    <w:rsid w:val="37C1937E"/>
    <w:rsid w:val="37EAE9CD"/>
    <w:rsid w:val="3819CAC2"/>
    <w:rsid w:val="384AFD6E"/>
    <w:rsid w:val="38527168"/>
    <w:rsid w:val="39BE32FF"/>
    <w:rsid w:val="39C2E15F"/>
    <w:rsid w:val="3A188CE1"/>
    <w:rsid w:val="3A306B06"/>
    <w:rsid w:val="3A7177B2"/>
    <w:rsid w:val="3ADBF743"/>
    <w:rsid w:val="3AFAD123"/>
    <w:rsid w:val="3B5C626C"/>
    <w:rsid w:val="3B6531BA"/>
    <w:rsid w:val="3B73691C"/>
    <w:rsid w:val="3B8768AE"/>
    <w:rsid w:val="3C0BE390"/>
    <w:rsid w:val="3C0C24E0"/>
    <w:rsid w:val="3C20F58A"/>
    <w:rsid w:val="3CB1322F"/>
    <w:rsid w:val="3CCD37E1"/>
    <w:rsid w:val="3CFBB902"/>
    <w:rsid w:val="3D0A389E"/>
    <w:rsid w:val="3E4FC6C0"/>
    <w:rsid w:val="3E7D802C"/>
    <w:rsid w:val="3E917AA8"/>
    <w:rsid w:val="3F174BFC"/>
    <w:rsid w:val="3F445889"/>
    <w:rsid w:val="4045F052"/>
    <w:rsid w:val="40484AB9"/>
    <w:rsid w:val="4057D9B8"/>
    <w:rsid w:val="406DCA40"/>
    <w:rsid w:val="407F41EE"/>
    <w:rsid w:val="408DFA6F"/>
    <w:rsid w:val="409660D9"/>
    <w:rsid w:val="40A00421"/>
    <w:rsid w:val="40B1C080"/>
    <w:rsid w:val="40B6489E"/>
    <w:rsid w:val="40D1CF31"/>
    <w:rsid w:val="410003F4"/>
    <w:rsid w:val="41149D2D"/>
    <w:rsid w:val="412A9825"/>
    <w:rsid w:val="415E74B3"/>
    <w:rsid w:val="41CDDF94"/>
    <w:rsid w:val="41F05D1C"/>
    <w:rsid w:val="41F89319"/>
    <w:rsid w:val="42756CA7"/>
    <w:rsid w:val="427AB7E5"/>
    <w:rsid w:val="429C3DEA"/>
    <w:rsid w:val="42AE80FF"/>
    <w:rsid w:val="42D68495"/>
    <w:rsid w:val="43787EE0"/>
    <w:rsid w:val="44B22A09"/>
    <w:rsid w:val="4514242C"/>
    <w:rsid w:val="4538F36C"/>
    <w:rsid w:val="453ECDCB"/>
    <w:rsid w:val="457828D6"/>
    <w:rsid w:val="459D4492"/>
    <w:rsid w:val="45A6AD88"/>
    <w:rsid w:val="4622684E"/>
    <w:rsid w:val="46258D87"/>
    <w:rsid w:val="467D9734"/>
    <w:rsid w:val="468C9F49"/>
    <w:rsid w:val="46991B71"/>
    <w:rsid w:val="46BEF0A8"/>
    <w:rsid w:val="474DD24A"/>
    <w:rsid w:val="474F0422"/>
    <w:rsid w:val="4771B693"/>
    <w:rsid w:val="479656FA"/>
    <w:rsid w:val="47B6FC3C"/>
    <w:rsid w:val="47BE9C91"/>
    <w:rsid w:val="47D2F1BB"/>
    <w:rsid w:val="47D78F5E"/>
    <w:rsid w:val="47F2FA1B"/>
    <w:rsid w:val="4819CF10"/>
    <w:rsid w:val="482C01DB"/>
    <w:rsid w:val="48B2848E"/>
    <w:rsid w:val="48E0B017"/>
    <w:rsid w:val="49902215"/>
    <w:rsid w:val="4996ED82"/>
    <w:rsid w:val="4A0190B0"/>
    <w:rsid w:val="4A05D771"/>
    <w:rsid w:val="4A2E11EE"/>
    <w:rsid w:val="4AC04A8D"/>
    <w:rsid w:val="4B4930D0"/>
    <w:rsid w:val="4B7E95CA"/>
    <w:rsid w:val="4BD8E829"/>
    <w:rsid w:val="4BEFCA14"/>
    <w:rsid w:val="4BF639AD"/>
    <w:rsid w:val="4C0A7530"/>
    <w:rsid w:val="4C27605A"/>
    <w:rsid w:val="4C930A9A"/>
    <w:rsid w:val="4CAE3BC8"/>
    <w:rsid w:val="4CC90F56"/>
    <w:rsid w:val="4CDD420E"/>
    <w:rsid w:val="4D22738F"/>
    <w:rsid w:val="4D2E5F46"/>
    <w:rsid w:val="4D388893"/>
    <w:rsid w:val="4E132102"/>
    <w:rsid w:val="4E1B95B7"/>
    <w:rsid w:val="4E3D8FB6"/>
    <w:rsid w:val="4E8073C6"/>
    <w:rsid w:val="4E839B67"/>
    <w:rsid w:val="4EB3AD69"/>
    <w:rsid w:val="4ED934AC"/>
    <w:rsid w:val="4EE28F5C"/>
    <w:rsid w:val="4F0745BE"/>
    <w:rsid w:val="4F0B4D08"/>
    <w:rsid w:val="4F4FC16D"/>
    <w:rsid w:val="4F903398"/>
    <w:rsid w:val="4FAB55FB"/>
    <w:rsid w:val="4FE7DBA8"/>
    <w:rsid w:val="508AE211"/>
    <w:rsid w:val="51171E9D"/>
    <w:rsid w:val="511C0453"/>
    <w:rsid w:val="5154538C"/>
    <w:rsid w:val="516477FF"/>
    <w:rsid w:val="51E7B4B0"/>
    <w:rsid w:val="5266C254"/>
    <w:rsid w:val="52BB8D0E"/>
    <w:rsid w:val="52DC6440"/>
    <w:rsid w:val="52FE0B32"/>
    <w:rsid w:val="53106B34"/>
    <w:rsid w:val="531D5F2B"/>
    <w:rsid w:val="53358D12"/>
    <w:rsid w:val="5375875E"/>
    <w:rsid w:val="537FA063"/>
    <w:rsid w:val="53A3B4A8"/>
    <w:rsid w:val="53F31B4B"/>
    <w:rsid w:val="54273F64"/>
    <w:rsid w:val="54492B8B"/>
    <w:rsid w:val="5457B9EA"/>
    <w:rsid w:val="5486DDC5"/>
    <w:rsid w:val="54EF5A1E"/>
    <w:rsid w:val="55099C75"/>
    <w:rsid w:val="553E6FA8"/>
    <w:rsid w:val="554A1888"/>
    <w:rsid w:val="55A8400C"/>
    <w:rsid w:val="55ABF0FE"/>
    <w:rsid w:val="55F500C4"/>
    <w:rsid w:val="56268589"/>
    <w:rsid w:val="569B938D"/>
    <w:rsid w:val="56B44835"/>
    <w:rsid w:val="56CD14C7"/>
    <w:rsid w:val="56D076B8"/>
    <w:rsid w:val="5780FAA1"/>
    <w:rsid w:val="57DE5C6D"/>
    <w:rsid w:val="57F75682"/>
    <w:rsid w:val="57F8EDF6"/>
    <w:rsid w:val="582C24C1"/>
    <w:rsid w:val="589B1EE7"/>
    <w:rsid w:val="59048C9A"/>
    <w:rsid w:val="592A63EA"/>
    <w:rsid w:val="5982A398"/>
    <w:rsid w:val="59B0C4E1"/>
    <w:rsid w:val="59EBA840"/>
    <w:rsid w:val="5A259776"/>
    <w:rsid w:val="5A76A41B"/>
    <w:rsid w:val="5AC10486"/>
    <w:rsid w:val="5ADD419C"/>
    <w:rsid w:val="5AEB358E"/>
    <w:rsid w:val="5BC1450B"/>
    <w:rsid w:val="5C0983C9"/>
    <w:rsid w:val="5C4D4F67"/>
    <w:rsid w:val="5C7E9440"/>
    <w:rsid w:val="5CB76D34"/>
    <w:rsid w:val="5D1F56F9"/>
    <w:rsid w:val="5D6A8379"/>
    <w:rsid w:val="5DA7BFCA"/>
    <w:rsid w:val="5DEE5650"/>
    <w:rsid w:val="5E6ED101"/>
    <w:rsid w:val="5E733AF2"/>
    <w:rsid w:val="5E8A7D25"/>
    <w:rsid w:val="5F1360BD"/>
    <w:rsid w:val="5F406337"/>
    <w:rsid w:val="5F94CFF9"/>
    <w:rsid w:val="5FA17A0F"/>
    <w:rsid w:val="5FB265E5"/>
    <w:rsid w:val="6093794B"/>
    <w:rsid w:val="60A5EC9A"/>
    <w:rsid w:val="60BCE57D"/>
    <w:rsid w:val="60EA760C"/>
    <w:rsid w:val="61342FFB"/>
    <w:rsid w:val="615C643A"/>
    <w:rsid w:val="61F7684C"/>
    <w:rsid w:val="625FF7FC"/>
    <w:rsid w:val="6260D3FD"/>
    <w:rsid w:val="6264AAEA"/>
    <w:rsid w:val="62EB20ED"/>
    <w:rsid w:val="633478A1"/>
    <w:rsid w:val="63402A10"/>
    <w:rsid w:val="63B71113"/>
    <w:rsid w:val="63C322A8"/>
    <w:rsid w:val="63EBCB09"/>
    <w:rsid w:val="6437A092"/>
    <w:rsid w:val="64548DF4"/>
    <w:rsid w:val="645FDAD0"/>
    <w:rsid w:val="64730DE9"/>
    <w:rsid w:val="648E3430"/>
    <w:rsid w:val="64945FA9"/>
    <w:rsid w:val="649DEC8E"/>
    <w:rsid w:val="64D0027B"/>
    <w:rsid w:val="650E0829"/>
    <w:rsid w:val="652A8D44"/>
    <w:rsid w:val="655470FD"/>
    <w:rsid w:val="65928038"/>
    <w:rsid w:val="6648AD78"/>
    <w:rsid w:val="664B1A79"/>
    <w:rsid w:val="66991EDC"/>
    <w:rsid w:val="66AE1CDC"/>
    <w:rsid w:val="66D361E5"/>
    <w:rsid w:val="66E57D9E"/>
    <w:rsid w:val="66F0D235"/>
    <w:rsid w:val="66FDCBF6"/>
    <w:rsid w:val="674AD45C"/>
    <w:rsid w:val="676FD5BB"/>
    <w:rsid w:val="67A9DE7C"/>
    <w:rsid w:val="67CCF413"/>
    <w:rsid w:val="67CDDFEB"/>
    <w:rsid w:val="67E2FD8B"/>
    <w:rsid w:val="67FE7EDB"/>
    <w:rsid w:val="681B435D"/>
    <w:rsid w:val="6838F9C9"/>
    <w:rsid w:val="68548385"/>
    <w:rsid w:val="68A8C945"/>
    <w:rsid w:val="68AED5E1"/>
    <w:rsid w:val="6907B316"/>
    <w:rsid w:val="691FD9DB"/>
    <w:rsid w:val="692B9A8C"/>
    <w:rsid w:val="6963C1CA"/>
    <w:rsid w:val="69B4439E"/>
    <w:rsid w:val="69CE5DED"/>
    <w:rsid w:val="6A2710D3"/>
    <w:rsid w:val="6A35C97C"/>
    <w:rsid w:val="6A5C4546"/>
    <w:rsid w:val="6A638989"/>
    <w:rsid w:val="6A650D66"/>
    <w:rsid w:val="6A9C21BB"/>
    <w:rsid w:val="6AF04D1C"/>
    <w:rsid w:val="6B26F36D"/>
    <w:rsid w:val="6B55A1D4"/>
    <w:rsid w:val="6B90781A"/>
    <w:rsid w:val="6BAC81C0"/>
    <w:rsid w:val="6C3F6BAE"/>
    <w:rsid w:val="6CF3A939"/>
    <w:rsid w:val="6CFF44B7"/>
    <w:rsid w:val="6D1012C7"/>
    <w:rsid w:val="6D1E5847"/>
    <w:rsid w:val="6D20AC10"/>
    <w:rsid w:val="6D2375E2"/>
    <w:rsid w:val="6D754305"/>
    <w:rsid w:val="6DAF9822"/>
    <w:rsid w:val="6DB60BC3"/>
    <w:rsid w:val="6DFB5B64"/>
    <w:rsid w:val="6E195C3C"/>
    <w:rsid w:val="6E5E63C4"/>
    <w:rsid w:val="6E7A49FF"/>
    <w:rsid w:val="6F361389"/>
    <w:rsid w:val="6F3BE9CF"/>
    <w:rsid w:val="6F8F24FD"/>
    <w:rsid w:val="6F93A1A5"/>
    <w:rsid w:val="6F94F705"/>
    <w:rsid w:val="6FDA1822"/>
    <w:rsid w:val="6FEB207B"/>
    <w:rsid w:val="701C318A"/>
    <w:rsid w:val="71AC7665"/>
    <w:rsid w:val="723A5523"/>
    <w:rsid w:val="72947001"/>
    <w:rsid w:val="7312158C"/>
    <w:rsid w:val="7332CFCB"/>
    <w:rsid w:val="733C6311"/>
    <w:rsid w:val="73715E83"/>
    <w:rsid w:val="7383A501"/>
    <w:rsid w:val="738A71B9"/>
    <w:rsid w:val="739996AB"/>
    <w:rsid w:val="73C3B2AE"/>
    <w:rsid w:val="74ADF476"/>
    <w:rsid w:val="74BDDDD2"/>
    <w:rsid w:val="74CDFBC8"/>
    <w:rsid w:val="757D4782"/>
    <w:rsid w:val="7585A77B"/>
    <w:rsid w:val="75B5C219"/>
    <w:rsid w:val="75D130C7"/>
    <w:rsid w:val="75E31B50"/>
    <w:rsid w:val="75F5A2F2"/>
    <w:rsid w:val="76387227"/>
    <w:rsid w:val="76F8F14C"/>
    <w:rsid w:val="770C9044"/>
    <w:rsid w:val="77A4FAD4"/>
    <w:rsid w:val="77B337EF"/>
    <w:rsid w:val="77D83E20"/>
    <w:rsid w:val="77EF13C0"/>
    <w:rsid w:val="784C3D9A"/>
    <w:rsid w:val="784EFED7"/>
    <w:rsid w:val="7850EFD9"/>
    <w:rsid w:val="785E27F6"/>
    <w:rsid w:val="78689258"/>
    <w:rsid w:val="789C37E0"/>
    <w:rsid w:val="78ACA634"/>
    <w:rsid w:val="78C07126"/>
    <w:rsid w:val="78E0DD71"/>
    <w:rsid w:val="78FC7DE6"/>
    <w:rsid w:val="7906D3C5"/>
    <w:rsid w:val="791A016C"/>
    <w:rsid w:val="79614D03"/>
    <w:rsid w:val="7973018A"/>
    <w:rsid w:val="7998117D"/>
    <w:rsid w:val="79A631B2"/>
    <w:rsid w:val="7A3F5895"/>
    <w:rsid w:val="7A4BE91B"/>
    <w:rsid w:val="7A5CFA0D"/>
    <w:rsid w:val="7A68E7B0"/>
    <w:rsid w:val="7A932BF0"/>
    <w:rsid w:val="7AC7A096"/>
    <w:rsid w:val="7BF7D6F5"/>
    <w:rsid w:val="7C281516"/>
    <w:rsid w:val="7C2914F2"/>
    <w:rsid w:val="7C6D132D"/>
    <w:rsid w:val="7C881011"/>
    <w:rsid w:val="7C90A764"/>
    <w:rsid w:val="7D26E41F"/>
    <w:rsid w:val="7D2F3592"/>
    <w:rsid w:val="7D80E2D8"/>
    <w:rsid w:val="7DCEF59D"/>
    <w:rsid w:val="7E88673E"/>
    <w:rsid w:val="7E8B61B8"/>
    <w:rsid w:val="7E9EEFC8"/>
    <w:rsid w:val="7EA1B55D"/>
    <w:rsid w:val="7EBD8056"/>
    <w:rsid w:val="7EC31E49"/>
    <w:rsid w:val="7EDECCBA"/>
    <w:rsid w:val="7F8D08CD"/>
    <w:rsid w:val="7F92DB53"/>
    <w:rsid w:val="7F9964DF"/>
    <w:rsid w:val="BFB7EFB2"/>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F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79" w:lineRule="auto"/>
    </w:pPr>
    <w:rPr>
      <w:rFonts w:asciiTheme="minorHAnsi" w:eastAsiaTheme="minorHAnsi" w:hAnsiTheme="minorHAnsi" w:cstheme="minorBidi"/>
      <w:sz w:val="24"/>
      <w:szCs w:val="24"/>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u w:val="single"/>
    </w:rPr>
  </w:style>
  <w:style w:type="paragraph" w:styleId="a5">
    <w:name w:val="Normal (Web)"/>
    <w:basedOn w:val="a"/>
    <w:uiPriority w:val="99"/>
    <w:unhideWhenUsed/>
    <w:pPr>
      <w:spacing w:before="100" w:beforeAutospacing="1" w:after="100" w:afterAutospacing="1" w:line="240" w:lineRule="auto"/>
    </w:pPr>
    <w:rPr>
      <w:rFonts w:ascii="Times New Roman" w:eastAsia="Times New Roman" w:hAnsi="Times New Roman" w:cs="Times New Roman"/>
      <w:lang w:eastAsia="uk-UA"/>
    </w:rPr>
  </w:style>
  <w:style w:type="character" w:styleId="a6">
    <w:name w:val="Strong"/>
    <w:basedOn w:val="a0"/>
    <w:uiPriority w:val="22"/>
    <w:qFormat/>
    <w:rPr>
      <w:b/>
      <w:bCs/>
    </w:rPr>
  </w:style>
  <w:style w:type="table" w:styleId="a7">
    <w:name w:val="Table Grid"/>
    <w:basedOn w:val="a1"/>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pPr>
      <w:ind w:left="720"/>
      <w:contextualSpacing/>
    </w:p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eastAsia="uk-UA"/>
    </w:rPr>
  </w:style>
  <w:style w:type="character" w:customStyle="1" w:styleId="title-text">
    <w:name w:val="title-text"/>
    <w:basedOn w:val="a0"/>
  </w:style>
  <w:style w:type="paragraph" w:styleId="HTML">
    <w:name w:val="HTML Preformatted"/>
    <w:basedOn w:val="a"/>
    <w:link w:val="HTML0"/>
    <w:uiPriority w:val="99"/>
    <w:semiHidden/>
    <w:unhideWhenUsed/>
    <w:rsid w:val="0037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3708A8"/>
    <w:rPr>
      <w:rFonts w:ascii="Courier New" w:eastAsia="Times New Roman" w:hAnsi="Courier New" w:cs="Courier New"/>
    </w:rPr>
  </w:style>
  <w:style w:type="character" w:customStyle="1" w:styleId="y2iqfc">
    <w:name w:val="y2iqfc"/>
    <w:basedOn w:val="a0"/>
    <w:rsid w:val="003708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79" w:lineRule="auto"/>
    </w:pPr>
    <w:rPr>
      <w:rFonts w:asciiTheme="minorHAnsi" w:eastAsiaTheme="minorHAnsi" w:hAnsiTheme="minorHAnsi" w:cstheme="minorBidi"/>
      <w:sz w:val="24"/>
      <w:szCs w:val="24"/>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u w:val="single"/>
    </w:rPr>
  </w:style>
  <w:style w:type="paragraph" w:styleId="a5">
    <w:name w:val="Normal (Web)"/>
    <w:basedOn w:val="a"/>
    <w:uiPriority w:val="99"/>
    <w:unhideWhenUsed/>
    <w:pPr>
      <w:spacing w:before="100" w:beforeAutospacing="1" w:after="100" w:afterAutospacing="1" w:line="240" w:lineRule="auto"/>
    </w:pPr>
    <w:rPr>
      <w:rFonts w:ascii="Times New Roman" w:eastAsia="Times New Roman" w:hAnsi="Times New Roman" w:cs="Times New Roman"/>
      <w:lang w:eastAsia="uk-UA"/>
    </w:rPr>
  </w:style>
  <w:style w:type="character" w:styleId="a6">
    <w:name w:val="Strong"/>
    <w:basedOn w:val="a0"/>
    <w:uiPriority w:val="22"/>
    <w:qFormat/>
    <w:rPr>
      <w:b/>
      <w:bCs/>
    </w:rPr>
  </w:style>
  <w:style w:type="table" w:styleId="a7">
    <w:name w:val="Table Grid"/>
    <w:basedOn w:val="a1"/>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pPr>
      <w:ind w:left="720"/>
      <w:contextualSpacing/>
    </w:p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eastAsia="uk-UA"/>
    </w:rPr>
  </w:style>
  <w:style w:type="character" w:customStyle="1" w:styleId="title-text">
    <w:name w:val="title-text"/>
    <w:basedOn w:val="a0"/>
  </w:style>
  <w:style w:type="paragraph" w:styleId="HTML">
    <w:name w:val="HTML Preformatted"/>
    <w:basedOn w:val="a"/>
    <w:link w:val="HTML0"/>
    <w:uiPriority w:val="99"/>
    <w:semiHidden/>
    <w:unhideWhenUsed/>
    <w:rsid w:val="0037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3708A8"/>
    <w:rPr>
      <w:rFonts w:ascii="Courier New" w:eastAsia="Times New Roman" w:hAnsi="Courier New" w:cs="Courier New"/>
    </w:rPr>
  </w:style>
  <w:style w:type="character" w:customStyle="1" w:styleId="y2iqfc">
    <w:name w:val="y2iqfc"/>
    <w:basedOn w:val="a0"/>
    <w:rsid w:val="00370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78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18397</Words>
  <Characters>10487</Characters>
  <Application>Microsoft Office Word</Application>
  <DocSecurity>0</DocSecurity>
  <Lines>87</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28827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ostapon232@gmail.com</dc:creator>
  <cp:lastModifiedBy>Bagr Bagron</cp:lastModifiedBy>
  <cp:revision>6</cp:revision>
  <dcterms:created xsi:type="dcterms:W3CDTF">2025-10-29T09:05:00Z</dcterms:created>
  <dcterms:modified xsi:type="dcterms:W3CDTF">2025-10-29T09:07:00Z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1033-12.1.23143.23143</vt:lpwstr>
  </property>
  <property fmtid="{D5CDD505-2E9C-101B-9397-08002B2CF9AE}" pid="3" name="ICV">
    <vt:lpwstr>656B689E06EE74DCF00D01697C1AB57B_43</vt:lpwstr>
  </property>
</Properties>
</file>