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C9" w:rsidRPr="00FE5FC9" w:rsidRDefault="00FE5FC9" w:rsidP="00FE5F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E5FC9">
        <w:rPr>
          <w:rFonts w:ascii="Times New Roman" w:hAnsi="Times New Roman" w:cs="Times New Roman"/>
          <w:b/>
          <w:sz w:val="36"/>
          <w:szCs w:val="36"/>
        </w:rPr>
        <w:t>Державна</w:t>
      </w:r>
      <w:proofErr w:type="spellEnd"/>
      <w:r w:rsidRPr="00FE5FC9">
        <w:rPr>
          <w:rFonts w:ascii="Times New Roman" w:hAnsi="Times New Roman" w:cs="Times New Roman"/>
          <w:b/>
          <w:sz w:val="36"/>
          <w:szCs w:val="36"/>
        </w:rPr>
        <w:t xml:space="preserve"> служба </w:t>
      </w:r>
      <w:proofErr w:type="spellStart"/>
      <w:r w:rsidRPr="00FE5FC9">
        <w:rPr>
          <w:rFonts w:ascii="Times New Roman" w:hAnsi="Times New Roman" w:cs="Times New Roman"/>
          <w:b/>
          <w:sz w:val="36"/>
          <w:szCs w:val="36"/>
        </w:rPr>
        <w:t>України</w:t>
      </w:r>
      <w:proofErr w:type="spellEnd"/>
      <w:r w:rsidRPr="00FE5FC9">
        <w:rPr>
          <w:rFonts w:ascii="Times New Roman" w:hAnsi="Times New Roman" w:cs="Times New Roman"/>
          <w:b/>
          <w:sz w:val="36"/>
          <w:szCs w:val="36"/>
        </w:rPr>
        <w:t xml:space="preserve"> з </w:t>
      </w:r>
      <w:proofErr w:type="spellStart"/>
      <w:r w:rsidRPr="00FE5FC9">
        <w:rPr>
          <w:rFonts w:ascii="Times New Roman" w:hAnsi="Times New Roman" w:cs="Times New Roman"/>
          <w:b/>
          <w:sz w:val="36"/>
          <w:szCs w:val="36"/>
        </w:rPr>
        <w:t>надзвичайних</w:t>
      </w:r>
      <w:proofErr w:type="spellEnd"/>
      <w:r w:rsidRPr="00FE5F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E5FC9">
        <w:rPr>
          <w:rFonts w:ascii="Times New Roman" w:hAnsi="Times New Roman" w:cs="Times New Roman"/>
          <w:b/>
          <w:sz w:val="36"/>
          <w:szCs w:val="36"/>
        </w:rPr>
        <w:t>ситуацій</w:t>
      </w:r>
      <w:proofErr w:type="spellEnd"/>
    </w:p>
    <w:p w:rsidR="00FE5FC9" w:rsidRDefault="00FE5FC9" w:rsidP="00FE5FC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E5FC9">
        <w:rPr>
          <w:rFonts w:ascii="Times New Roman" w:hAnsi="Times New Roman" w:cs="Times New Roman"/>
          <w:sz w:val="36"/>
          <w:szCs w:val="36"/>
        </w:rPr>
        <w:t>Інститут</w:t>
      </w:r>
      <w:proofErr w:type="spellEnd"/>
      <w:r w:rsidRPr="00FE5FC9">
        <w:rPr>
          <w:rFonts w:ascii="Times New Roman" w:hAnsi="Times New Roman" w:cs="Times New Roman"/>
          <w:sz w:val="36"/>
          <w:szCs w:val="36"/>
        </w:rPr>
        <w:t xml:space="preserve"> державного </w:t>
      </w:r>
      <w:proofErr w:type="spellStart"/>
      <w:r w:rsidRPr="00FE5FC9">
        <w:rPr>
          <w:rFonts w:ascii="Times New Roman" w:hAnsi="Times New Roman" w:cs="Times New Roman"/>
          <w:sz w:val="36"/>
          <w:szCs w:val="36"/>
        </w:rPr>
        <w:t>управління</w:t>
      </w:r>
      <w:proofErr w:type="spellEnd"/>
      <w:r w:rsidRPr="00FE5FC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FE5FC9">
        <w:rPr>
          <w:rFonts w:ascii="Times New Roman" w:hAnsi="Times New Roman" w:cs="Times New Roman"/>
          <w:sz w:val="36"/>
          <w:szCs w:val="36"/>
        </w:rPr>
        <w:t>сфері</w:t>
      </w:r>
      <w:proofErr w:type="spellEnd"/>
      <w:r w:rsidRPr="00FE5FC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36"/>
          <w:szCs w:val="36"/>
        </w:rPr>
        <w:t>цивільного</w:t>
      </w:r>
      <w:proofErr w:type="spellEnd"/>
      <w:r w:rsidRPr="00FE5FC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36"/>
          <w:szCs w:val="36"/>
        </w:rPr>
        <w:t>захисту</w:t>
      </w:r>
      <w:proofErr w:type="spellEnd"/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40"/>
          <w:szCs w:val="40"/>
        </w:rPr>
      </w:pPr>
      <w:r w:rsidRPr="00FE5FC9">
        <w:rPr>
          <w:rFonts w:ascii="Times New Roman" w:hAnsi="Times New Roman" w:cs="Times New Roman"/>
          <w:sz w:val="40"/>
          <w:szCs w:val="40"/>
        </w:rPr>
        <w:t xml:space="preserve">XVІ 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Міжнародний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виставковий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 xml:space="preserve"> форум „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Технології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захисту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ПожТех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 xml:space="preserve"> – 2017”</w:t>
      </w:r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Pr="00FE5FC9" w:rsidRDefault="00FE5FC9" w:rsidP="00FE5F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E5FC9">
        <w:rPr>
          <w:rFonts w:ascii="Times New Roman" w:hAnsi="Times New Roman" w:cs="Times New Roman"/>
          <w:sz w:val="32"/>
          <w:szCs w:val="32"/>
        </w:rPr>
        <w:t>МАТЕРІАЛИ  19</w:t>
      </w:r>
      <w:proofErr w:type="gramEnd"/>
      <w:r w:rsidRPr="00FE5F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32"/>
          <w:szCs w:val="32"/>
        </w:rPr>
        <w:t>Всеукраїнської</w:t>
      </w:r>
      <w:proofErr w:type="spellEnd"/>
      <w:r w:rsidRPr="00FE5F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32"/>
          <w:szCs w:val="32"/>
        </w:rPr>
        <w:t>науково</w:t>
      </w:r>
      <w:proofErr w:type="spellEnd"/>
      <w:r w:rsidRPr="00FE5FC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E5FC9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FE5F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5FC9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</w:p>
    <w:p w:rsidR="00FE5FC9" w:rsidRDefault="00FE5FC9" w:rsidP="00FE5FC9">
      <w:pPr>
        <w:rPr>
          <w:rFonts w:ascii="Times New Roman" w:hAnsi="Times New Roman" w:cs="Times New Roman"/>
          <w:sz w:val="24"/>
          <w:szCs w:val="24"/>
        </w:rPr>
      </w:pPr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48"/>
          <w:szCs w:val="48"/>
        </w:rPr>
      </w:pPr>
      <w:r w:rsidRPr="00FE5FC9">
        <w:rPr>
          <w:rFonts w:ascii="Times New Roman" w:hAnsi="Times New Roman" w:cs="Times New Roman"/>
          <w:sz w:val="48"/>
          <w:szCs w:val="48"/>
        </w:rPr>
        <w:t xml:space="preserve">СУЧАСНИЙ СТАН </w:t>
      </w:r>
      <w:proofErr w:type="gramStart"/>
      <w:r w:rsidRPr="00FE5FC9">
        <w:rPr>
          <w:rFonts w:ascii="Times New Roman" w:hAnsi="Times New Roman" w:cs="Times New Roman"/>
          <w:sz w:val="48"/>
          <w:szCs w:val="48"/>
        </w:rPr>
        <w:t>ЦИВІЛЬНОГО  ЗАХИСТУ</w:t>
      </w:r>
      <w:proofErr w:type="gramEnd"/>
      <w:r w:rsidRPr="00FE5FC9">
        <w:rPr>
          <w:rFonts w:ascii="Times New Roman" w:hAnsi="Times New Roman" w:cs="Times New Roman"/>
          <w:sz w:val="48"/>
          <w:szCs w:val="48"/>
        </w:rPr>
        <w:t xml:space="preserve"> УКРАЇНИ ТА  ПЕРСПЕКТИВИ РОЗВИТКУ</w:t>
      </w: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40"/>
          <w:szCs w:val="40"/>
        </w:rPr>
      </w:pPr>
      <w:r w:rsidRPr="00FE5FC9">
        <w:rPr>
          <w:rFonts w:ascii="Times New Roman" w:hAnsi="Times New Roman" w:cs="Times New Roman"/>
          <w:sz w:val="40"/>
          <w:szCs w:val="40"/>
        </w:rPr>
        <w:t xml:space="preserve">10-11 </w:t>
      </w:r>
      <w:proofErr w:type="spellStart"/>
      <w:r w:rsidRPr="00FE5FC9">
        <w:rPr>
          <w:rFonts w:ascii="Times New Roman" w:hAnsi="Times New Roman" w:cs="Times New Roman"/>
          <w:sz w:val="40"/>
          <w:szCs w:val="40"/>
        </w:rPr>
        <w:t>жовтня</w:t>
      </w:r>
      <w:proofErr w:type="spellEnd"/>
      <w:r w:rsidRPr="00FE5FC9">
        <w:rPr>
          <w:rFonts w:ascii="Times New Roman" w:hAnsi="Times New Roman" w:cs="Times New Roman"/>
          <w:sz w:val="40"/>
          <w:szCs w:val="40"/>
        </w:rPr>
        <w:t xml:space="preserve"> 2017 року</w:t>
      </w: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Default="00FE5FC9" w:rsidP="00FE5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FC9" w:rsidRPr="00FE5FC9" w:rsidRDefault="00FE5FC9" w:rsidP="00FE5FC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E5FC9">
        <w:rPr>
          <w:rFonts w:ascii="Times New Roman" w:hAnsi="Times New Roman" w:cs="Times New Roman"/>
          <w:sz w:val="32"/>
          <w:szCs w:val="32"/>
        </w:rPr>
        <w:t>Київ</w:t>
      </w:r>
      <w:proofErr w:type="spellEnd"/>
      <w:r w:rsidRPr="00FE5FC9">
        <w:rPr>
          <w:rFonts w:ascii="Times New Roman" w:hAnsi="Times New Roman" w:cs="Times New Roman"/>
          <w:sz w:val="32"/>
          <w:szCs w:val="32"/>
        </w:rPr>
        <w:t xml:space="preserve"> − 2017</w:t>
      </w:r>
    </w:p>
    <w:p w:rsidR="00FE5FC9" w:rsidRDefault="00FE5FC9" w:rsidP="00FE5F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215" w:rsidRPr="00E92DC7" w:rsidRDefault="00E12215" w:rsidP="00FE5FC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2DC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Ковалишин В.В., </w:t>
      </w:r>
      <w:proofErr w:type="spellStart"/>
      <w:r w:rsidRPr="00E92DC7">
        <w:rPr>
          <w:rFonts w:ascii="Times New Roman" w:hAnsi="Times New Roman" w:cs="Times New Roman"/>
          <w:b/>
          <w:i/>
          <w:sz w:val="26"/>
          <w:szCs w:val="26"/>
        </w:rPr>
        <w:t>Кирилів</w:t>
      </w:r>
      <w:proofErr w:type="spellEnd"/>
      <w:r w:rsidRPr="00E92DC7">
        <w:rPr>
          <w:rFonts w:ascii="Times New Roman" w:hAnsi="Times New Roman" w:cs="Times New Roman"/>
          <w:b/>
          <w:i/>
          <w:sz w:val="26"/>
          <w:szCs w:val="26"/>
        </w:rPr>
        <w:t xml:space="preserve"> Я.Б.</w:t>
      </w:r>
      <w:proofErr w:type="gramStart"/>
      <w:r w:rsidRPr="00E92DC7">
        <w:rPr>
          <w:rFonts w:ascii="Times New Roman" w:hAnsi="Times New Roman" w:cs="Times New Roman"/>
          <w:b/>
          <w:i/>
          <w:sz w:val="26"/>
          <w:szCs w:val="26"/>
        </w:rPr>
        <w:t>,  Войтович</w:t>
      </w:r>
      <w:proofErr w:type="gramEnd"/>
      <w:r w:rsidRPr="00E92DC7">
        <w:rPr>
          <w:rFonts w:ascii="Times New Roman" w:hAnsi="Times New Roman" w:cs="Times New Roman"/>
          <w:b/>
          <w:i/>
          <w:sz w:val="26"/>
          <w:szCs w:val="26"/>
        </w:rPr>
        <w:t xml:space="preserve"> Т.М., Гусар Б.М.</w:t>
      </w:r>
    </w:p>
    <w:p w:rsidR="00E12215" w:rsidRPr="00E92DC7" w:rsidRDefault="00E12215" w:rsidP="00E122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DC7">
        <w:rPr>
          <w:rFonts w:ascii="Times New Roman" w:hAnsi="Times New Roman" w:cs="Times New Roman"/>
          <w:b/>
          <w:sz w:val="26"/>
          <w:szCs w:val="26"/>
        </w:rPr>
        <w:t>ПЕРСПЕКТИВИ РОЗВИТКУ ПІННОГО ГАСІННЯ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r w:rsidRPr="00E92DC7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фахівцям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безпеки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й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усім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людям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відома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величезна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небезпека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загорання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Прикладом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служити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масштабні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аварії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найбільшому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Венесуелі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нафтопереробному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заводі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Амуай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трапився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2012 року.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загинуло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48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включаючи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10-річну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151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отримала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поранення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Вогонь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охопив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величезних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нафтових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резервуара,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гасили три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аж до 28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Інша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катастрофа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трапилась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одному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заводів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мексиканської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нафтової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компанії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Пемекс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 19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2012 року.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Стіна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накрила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завод, 30 людей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загинули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126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отримали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опіки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травми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Deepwater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Horizon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 є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однією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наймасштабніших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катастроф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людства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>. Бурова установка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Deepwater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Horizon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компанії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ВР, яка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видобувала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рекордної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глибини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10,6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кілометрів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Мексиканській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затоці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вибухнула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2010 року. </w:t>
      </w:r>
      <w:proofErr w:type="gramStart"/>
      <w:r w:rsidRPr="00E92DC7">
        <w:rPr>
          <w:rFonts w:ascii="Times New Roman" w:hAnsi="Times New Roman" w:cs="Times New Roman"/>
          <w:sz w:val="26"/>
          <w:szCs w:val="26"/>
        </w:rPr>
        <w:t>У момент</w:t>
      </w:r>
      <w:proofErr w:type="gram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загинуло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постраждало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Через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пошкоджені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нафтові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труби у води затоки почала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надходити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яку не могли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зупинити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152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Стосовно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Лисичанському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НПЗ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останньою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масштабною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аварією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до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нафтобазі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Василькові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Вона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спалахнула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вночі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липня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2014 року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обстрілу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заводу з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Градів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Рятувальники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змогли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запобігти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подальшому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поширенню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давши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полум’ю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вщухнути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самостійно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Завдяки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щасливому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обійшлося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без жертв [1].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нафтобазі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Васильківському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районі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села Крячки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Васильківського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Київської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спричинена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наступним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займанням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Вона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розпочалася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червня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2015року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тривала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небезпечною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поруч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розташована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військова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частина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бойовим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арсеналом [2]. Катастрофа забрала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шести людей, четверо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травмовано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Запобігти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таким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аваріям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дуже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важко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важче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ліквідувати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тому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дане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актуальним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додаткового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r w:rsidRPr="00E92DC7">
        <w:rPr>
          <w:rFonts w:ascii="Times New Roman" w:hAnsi="Times New Roman" w:cs="Times New Roman"/>
          <w:sz w:val="26"/>
          <w:szCs w:val="26"/>
        </w:rPr>
        <w:t xml:space="preserve"> 208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Загалом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небезпека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існує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усього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переробки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етапи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видобуток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транспортування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зберігання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переробка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Детальніше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розглянемо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етап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зберігання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призначені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відмінності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–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конструкції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об’ємі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розташуванні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наземні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напівпідземні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підземні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)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матеріалами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використовуються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резервуарах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парках заснована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оцінці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можливих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варіантів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резервуарах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характеризуються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складними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процесами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як правило,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носять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затяжний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характер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вимагають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великої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сил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ліквідації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[3]. 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Найчастіше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починається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пароповітряної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суміші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Вибух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призводить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підриву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внаслідок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чого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виходять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ладу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початковий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момент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аварії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: в 75%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ладу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виходили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піногенератори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в 25%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підвідні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трубопроводи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[4,5].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Основним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засобом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lastRenderedPageBreak/>
        <w:t>резервуарних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парках є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повітряно-механічна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Натомість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гасити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водою не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так як горюча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речовина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спливає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розтікається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триває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поверх води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більшій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площі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Вогнегасна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дія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повітряно-механічної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полягає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ізоляції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факела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полум’я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зниженні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внаслідок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швидкості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випаровування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скороченні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горючих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парів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надходять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зону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охолодженні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палаючої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[3].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Відомі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способи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резервуарах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(патент SU 1430033)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навісними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струменями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зверху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способом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горючих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розчинних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воді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E92DC7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E92DC7">
        <w:rPr>
          <w:rFonts w:ascii="Times New Roman" w:hAnsi="Times New Roman" w:cs="Times New Roman"/>
          <w:sz w:val="26"/>
          <w:szCs w:val="26"/>
        </w:rPr>
        <w:t xml:space="preserve">патент SU 1223926),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основу резервуара (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винахід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№2299084).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Способи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нафтопродуктами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реалізують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детально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розглянуті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нормативному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документі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[3].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залежить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безпосередньо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конструкції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самого резервуара.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понтоном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стаціонарним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дахом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захищаються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стаціонарними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пересувними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установками: з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зазор і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92DC7">
        <w:rPr>
          <w:rFonts w:ascii="Times New Roman" w:hAnsi="Times New Roman" w:cs="Times New Roman"/>
          <w:sz w:val="26"/>
          <w:szCs w:val="26"/>
        </w:rPr>
        <w:t>понтона;подачею</w:t>
      </w:r>
      <w:proofErr w:type="spellEnd"/>
      <w:proofErr w:type="gram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тільки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зверху;подачею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одночасно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зверху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в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Резервуари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плаваючим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дахом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захищаються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стаціонарними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пересувними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установками: з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кільцевий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зазор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стінкою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резервуара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краєм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плаваючого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92DC7">
        <w:rPr>
          <w:rFonts w:ascii="Times New Roman" w:hAnsi="Times New Roman" w:cs="Times New Roman"/>
          <w:sz w:val="26"/>
          <w:szCs w:val="26"/>
        </w:rPr>
        <w:t>даху;подачею</w:t>
      </w:r>
      <w:proofErr w:type="spellEnd"/>
      <w:proofErr w:type="gram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одночасно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зверху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кільцевий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зазор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стінкою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резервуара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краєм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плаваючого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; подачею хладону (газу),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розташованого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ємностях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плаваючому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даху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кільцевий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зазор і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плівкоутворюючої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Тип і число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піногенераторів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встановлюються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резервуарах,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залежать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способу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вогнегасної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речовини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типу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r w:rsidRPr="00E92DC7">
        <w:rPr>
          <w:rFonts w:ascii="Times New Roman" w:hAnsi="Times New Roman" w:cs="Times New Roman"/>
          <w:sz w:val="26"/>
          <w:szCs w:val="26"/>
        </w:rPr>
        <w:t xml:space="preserve"> 209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конструкції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об’єму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резервуара [6].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подачею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основу резервуара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здійснюватися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двома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способами. Перший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полягає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знизу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еластичний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рукав,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захищає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безпосереднього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контакту з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За статистикою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дуже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ненадійний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тому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пристрій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розкатці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рукава в 90%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виходить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ладу [7].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Другий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– подача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безпосередньо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підшаровий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можливим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фторвмісних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плівкоутворюючих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[3,8].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фторвмісних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плівкоутворюючих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низької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кратності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необхідною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умовою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інертна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впливу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вуглеводнів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тривалого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підйому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одержаної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звичайних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неприпустимо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так як при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проходженні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через шар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горючої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вона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насичується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парами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вуглеводнів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втрачає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вогнегасну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здатність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до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переваг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фторвмісних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відносяться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тривалий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зберігання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приготування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розчинів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води будь-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твердості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в тому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морської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сумісність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з </w:t>
      </w:r>
      <w:r w:rsidRPr="00E92DC7">
        <w:rPr>
          <w:rFonts w:ascii="Times New Roman" w:hAnsi="Times New Roman" w:cs="Times New Roman"/>
          <w:sz w:val="26"/>
          <w:szCs w:val="26"/>
        </w:rPr>
        <w:lastRenderedPageBreak/>
        <w:t xml:space="preserve">сухими порошками при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окремому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подаванні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[9, 10]. До них належать: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фторсинтетичні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плівкоутворювальні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>: “AFFF-106”, “ПО-6ТФ”, “FC-203”, “FC-3017”,                     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Pyrocool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AFFF”,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Sthamex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AFFF”,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Pyrocom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AFFF”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фторсинтетичні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плівкоутворювальні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призначені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водонерозчинних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водорозчинних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горючих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>: “ПО-6ТФ-У”, “FC-602”,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Pyrocool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AFFF AR”, “S.F.P.M.”,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Pyrocom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AFFF/ATC”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фторпротеїнові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призначені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водонерозчинних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горючих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рідин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>,              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Proflon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-FP 6”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пропонується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власної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“АРС АFFF-1”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попередніх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досліджень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використовуватися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нафтопродуктів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загороджувальних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смуг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лісових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локалізації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пожеж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сміттєзвалищах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дозволяє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подавати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компресійну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великі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відстані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Отже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піноутворювач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“АРС АFFF-1”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всебічних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досліджень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випробувань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практичну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Цитована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література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1. http://obozrevatel.com/. 2. http://www.pravda.com.ua/. 3. Руководство по тушению нефти и нефтепродуктов в резервуарах и резервуарных парках. М.: ГУГПС - ВНИИПО – МИПБ, 2000. 4. Блинов В.И., Худяков Г.Н. Диффузионное горение жидкостей. М.: АН СССР, 1961. – 208 с.  5. Блинов В.И., Худяков Г.Н., Петров И.И.,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Реутт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В.Ч. О движении жидкости в резервуаре при перемешивании ее струей воздуха // Механизм тушения пламени нефтепродуктов в резервуарах. М.: Изд. Мин.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Коммунхоза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r w:rsidRPr="00E92DC7">
        <w:rPr>
          <w:rFonts w:ascii="Times New Roman" w:hAnsi="Times New Roman" w:cs="Times New Roman"/>
          <w:sz w:val="26"/>
          <w:szCs w:val="26"/>
        </w:rPr>
        <w:t xml:space="preserve"> 210 </w:t>
      </w:r>
    </w:p>
    <w:p w:rsidR="00E12215" w:rsidRPr="00E92DC7" w:rsidRDefault="00E12215" w:rsidP="00E12215">
      <w:pPr>
        <w:rPr>
          <w:rFonts w:ascii="Times New Roman" w:hAnsi="Times New Roman" w:cs="Times New Roman"/>
          <w:sz w:val="26"/>
          <w:szCs w:val="26"/>
        </w:rPr>
      </w:pPr>
      <w:r w:rsidRPr="00E92DC7">
        <w:rPr>
          <w:rFonts w:ascii="Times New Roman" w:hAnsi="Times New Roman" w:cs="Times New Roman"/>
          <w:sz w:val="26"/>
          <w:szCs w:val="26"/>
        </w:rPr>
        <w:t xml:space="preserve">РСФСР., 1958. – С. 7-22. 6. http://vzrk.ru/kontakti.html. 7. Электронный научный </w:t>
      </w:r>
      <w:proofErr w:type="gramStart"/>
      <w:r w:rsidRPr="00E92DC7">
        <w:rPr>
          <w:rFonts w:ascii="Times New Roman" w:hAnsi="Times New Roman" w:cs="Times New Roman"/>
          <w:sz w:val="26"/>
          <w:szCs w:val="26"/>
        </w:rPr>
        <w:t>журнал ”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Нефтегазовоедело</w:t>
      </w:r>
      <w:proofErr w:type="spellEnd"/>
      <w:proofErr w:type="gramEnd"/>
      <w:r w:rsidRPr="00E92DC7">
        <w:rPr>
          <w:rFonts w:ascii="Times New Roman" w:hAnsi="Times New Roman" w:cs="Times New Roman"/>
          <w:sz w:val="26"/>
          <w:szCs w:val="26"/>
        </w:rPr>
        <w:t xml:space="preserve">”, 2012, №3 (http://www.ogbus.ru 257). 8. http://aquagroup.ru/normdocs/1305. 9. Ковалишин В.В.,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Васильєва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О.Е.,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Козяр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Н.М.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Пінне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гасіння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Сполом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– 2007. – 168 с. 10. Ковалишин В.В.,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Кріса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І.Я.,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Васильєва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О.Е.,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Кирилів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Я.Б.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експлуатації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вогнегасників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посібник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Pr="00E92DC7">
        <w:rPr>
          <w:rFonts w:ascii="Times New Roman" w:hAnsi="Times New Roman" w:cs="Times New Roman"/>
          <w:sz w:val="26"/>
          <w:szCs w:val="26"/>
        </w:rPr>
        <w:t>Сполом</w:t>
      </w:r>
      <w:proofErr w:type="spellEnd"/>
      <w:r w:rsidRPr="00E92DC7">
        <w:rPr>
          <w:rFonts w:ascii="Times New Roman" w:hAnsi="Times New Roman" w:cs="Times New Roman"/>
          <w:sz w:val="26"/>
          <w:szCs w:val="26"/>
        </w:rPr>
        <w:t xml:space="preserve">”, 2010. – 304 с.  </w:t>
      </w:r>
    </w:p>
    <w:p w:rsidR="00A01898" w:rsidRPr="00E92DC7" w:rsidRDefault="00A01898" w:rsidP="00E12215">
      <w:pPr>
        <w:rPr>
          <w:rFonts w:ascii="Times New Roman" w:hAnsi="Times New Roman" w:cs="Times New Roman"/>
          <w:sz w:val="26"/>
          <w:szCs w:val="26"/>
        </w:rPr>
      </w:pPr>
    </w:p>
    <w:sectPr w:rsidR="00A01898" w:rsidRPr="00E9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72"/>
    <w:rsid w:val="00A01898"/>
    <w:rsid w:val="00A85572"/>
    <w:rsid w:val="00E12215"/>
    <w:rsid w:val="00E92DC7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A00D-03B9-492D-9172-ABE27B85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2018-01-25T10:10:00Z</cp:lastPrinted>
  <dcterms:created xsi:type="dcterms:W3CDTF">2018-01-25T09:57:00Z</dcterms:created>
  <dcterms:modified xsi:type="dcterms:W3CDTF">2018-01-25T10:13:00Z</dcterms:modified>
</cp:coreProperties>
</file>