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87" w:rsidRPr="00457587" w:rsidRDefault="00B54467" w:rsidP="00027108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B54467">
        <w:rPr>
          <w:rFonts w:ascii="Times New Roman" w:hAnsi="Times New Roman"/>
          <w:b/>
          <w:caps/>
          <w:sz w:val="28"/>
          <w:szCs w:val="28"/>
        </w:rPr>
        <w:t>ОБГРУНТУВАННЯ ПАРАМЕТРІВ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027108" w:rsidRPr="00027108">
        <w:rPr>
          <w:rFonts w:ascii="Times New Roman" w:hAnsi="Times New Roman"/>
          <w:b/>
          <w:caps/>
          <w:sz w:val="28"/>
          <w:szCs w:val="28"/>
        </w:rPr>
        <w:t xml:space="preserve">автономного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РЕЗЕРВНОГО 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джерела </w:t>
      </w:r>
      <w:r w:rsidR="00027108">
        <w:rPr>
          <w:rFonts w:ascii="Times New Roman" w:hAnsi="Times New Roman"/>
          <w:b/>
          <w:caps/>
          <w:sz w:val="28"/>
          <w:szCs w:val="28"/>
          <w:lang w:val="uk-UA"/>
        </w:rPr>
        <w:t xml:space="preserve">електроенергії для </w:t>
      </w:r>
      <w:r>
        <w:rPr>
          <w:rFonts w:ascii="Times New Roman" w:hAnsi="Times New Roman"/>
          <w:b/>
          <w:caps/>
          <w:sz w:val="28"/>
          <w:szCs w:val="28"/>
          <w:lang w:val="uk-UA"/>
        </w:rPr>
        <w:t xml:space="preserve">ЖИВЛЕННЯ </w:t>
      </w:r>
      <w:r w:rsidR="0067318E">
        <w:rPr>
          <w:rFonts w:ascii="Times New Roman" w:hAnsi="Times New Roman"/>
          <w:b/>
          <w:caps/>
          <w:sz w:val="28"/>
          <w:szCs w:val="28"/>
          <w:lang w:val="uk-UA"/>
        </w:rPr>
        <w:t>автоматичних систем водяного пожежогасіння</w:t>
      </w:r>
      <w:r w:rsidR="00457587" w:rsidRPr="00457587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BE48D1" w:rsidRDefault="00BE48D1" w:rsidP="00BE48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48D1">
        <w:rPr>
          <w:rFonts w:ascii="Times New Roman" w:hAnsi="Times New Roman" w:cs="Times New Roman"/>
          <w:b/>
          <w:sz w:val="28"/>
          <w:szCs w:val="28"/>
          <w:lang w:val="uk-UA"/>
        </w:rPr>
        <w:t>Шаповалов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Олег Валерійович,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к.т.н.,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Львівський державний університет безпеки життєдіяльності</w:t>
      </w:r>
    </w:p>
    <w:p w:rsidR="00BE48D1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м.Львів, Україна</w:t>
      </w:r>
    </w:p>
    <w:p w:rsidR="00BE48D1" w:rsidRPr="00D66362" w:rsidRDefault="00BB47C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BE48D1" w:rsidRPr="00BE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o1972@ukr.net</w:t>
        </w:r>
      </w:hyperlink>
    </w:p>
    <w:p w:rsidR="00BE48D1" w:rsidRPr="00D66362" w:rsidRDefault="00BE48D1" w:rsidP="00BE48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A6A" w:rsidRDefault="00573D28" w:rsidP="00B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D28">
        <w:rPr>
          <w:rFonts w:ascii="Times New Roman" w:hAnsi="Times New Roman" w:cs="Times New Roman"/>
          <w:b/>
          <w:sz w:val="28"/>
          <w:szCs w:val="28"/>
        </w:rPr>
        <w:t>Введення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05840" w:rsidRPr="00B05840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B05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05840" w:rsidRPr="00B05840">
        <w:rPr>
          <w:rFonts w:ascii="Times New Roman" w:hAnsi="Times New Roman" w:cs="Times New Roman"/>
          <w:sz w:val="28"/>
          <w:szCs w:val="28"/>
          <w:lang w:val="uk-UA"/>
        </w:rPr>
        <w:t>ахист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>у громадян та майна від пожеж безпосередньо залежить від здатності систем протипожежного захисту виконати свої функції. З усіх систем протипожежного захисту на розвиток пожеж мож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 вплинути тільки систем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 пожежогасіння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внутрішнє протипожежне водопостачання</w:t>
      </w:r>
      <w:r w:rsidR="00B05840">
        <w:rPr>
          <w:rFonts w:ascii="Times New Roman" w:hAnsi="Times New Roman" w:cs="Times New Roman"/>
          <w:sz w:val="28"/>
          <w:szCs w:val="28"/>
          <w:lang w:val="uk-UA"/>
        </w:rPr>
        <w:t xml:space="preserve">, тому для вказаних систем необхідно зважено обирати 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>схему побудови джерел живлення. На відміну від систем пожежної сигналізації системи пожежогасіння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внутрішнє протипожежне водопостачання 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характеризуються потужними електроспоживачами які вимагають живлення трифазно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42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30A6A">
        <w:rPr>
          <w:rFonts w:ascii="Times New Roman" w:hAnsi="Times New Roman" w:cs="Times New Roman"/>
          <w:sz w:val="28"/>
          <w:szCs w:val="28"/>
          <w:lang w:val="uk-UA"/>
        </w:rPr>
        <w:t xml:space="preserve">апругою змінного струму. </w:t>
      </w:r>
    </w:p>
    <w:p w:rsidR="00B05840" w:rsidRPr="00030A6A" w:rsidRDefault="00030A6A" w:rsidP="00B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вирішення поставленої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проблеми забезпечення електроживленням автоматичних систем </w:t>
      </w:r>
      <w:r>
        <w:rPr>
          <w:rFonts w:ascii="Times New Roman" w:hAnsi="Times New Roman"/>
          <w:sz w:val="28"/>
          <w:szCs w:val="28"/>
          <w:lang w:val="uk-UA"/>
        </w:rPr>
        <w:t>водяного пожежогасіння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42E">
        <w:rPr>
          <w:rFonts w:ascii="Times New Roman" w:hAnsi="Times New Roman"/>
          <w:sz w:val="28"/>
          <w:szCs w:val="28"/>
          <w:lang w:val="uk-UA"/>
        </w:rPr>
        <w:t>та внутрішнього протипожежного водопостачання</w:t>
      </w:r>
      <w:r w:rsidR="0075142E" w:rsidRPr="00573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3D28">
        <w:rPr>
          <w:rFonts w:ascii="Times New Roman" w:hAnsi="Times New Roman"/>
          <w:sz w:val="28"/>
          <w:szCs w:val="28"/>
          <w:lang w:val="uk-UA"/>
        </w:rPr>
        <w:t>запропонован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рішення, яке</w:t>
      </w:r>
      <w:r w:rsidRPr="00573D28">
        <w:rPr>
          <w:rFonts w:ascii="Times New Roman" w:hAnsi="Times New Roman"/>
          <w:sz w:val="28"/>
          <w:szCs w:val="28"/>
          <w:lang w:val="uk-UA"/>
        </w:rPr>
        <w:t xml:space="preserve"> ґрунтується на використанні автономних джерел з обмеженим запасом енергії у поєднанні з перетворювачами напруги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73D28" w:rsidRDefault="00573D28" w:rsidP="00096B2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73D28">
        <w:rPr>
          <w:rFonts w:ascii="Times New Roman" w:hAnsi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Обґрунтування </w:t>
      </w:r>
      <w:r w:rsidR="00030A6A">
        <w:rPr>
          <w:rFonts w:ascii="Times New Roman" w:hAnsi="Times New Roman"/>
          <w:bCs/>
          <w:sz w:val="28"/>
          <w:szCs w:val="28"/>
          <w:lang w:val="uk-UA"/>
        </w:rPr>
        <w:t>параметрів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 автономного джерела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електроенергії для живлення приводного асинхронного двигуна системи </w:t>
      </w:r>
      <w:r w:rsidR="0075142E">
        <w:rPr>
          <w:rFonts w:ascii="Times New Roman" w:hAnsi="Times New Roman"/>
          <w:bCs/>
          <w:sz w:val="28"/>
          <w:szCs w:val="28"/>
          <w:lang w:val="uk-UA"/>
        </w:rPr>
        <w:t>водяного поже</w:t>
      </w:r>
      <w:r w:rsidR="00030A6A">
        <w:rPr>
          <w:rFonts w:ascii="Times New Roman" w:hAnsi="Times New Roman"/>
          <w:bCs/>
          <w:sz w:val="28"/>
          <w:szCs w:val="28"/>
          <w:lang w:val="uk-UA"/>
        </w:rPr>
        <w:t>жогасіння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 xml:space="preserve">з метою забезпечення 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 xml:space="preserve">його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безперебійно</w:t>
      </w:r>
      <w:r w:rsidR="00027108">
        <w:rPr>
          <w:rFonts w:ascii="Times New Roman" w:hAnsi="Times New Roman"/>
          <w:bCs/>
          <w:sz w:val="28"/>
          <w:szCs w:val="28"/>
          <w:lang w:val="uk-UA"/>
        </w:rPr>
        <w:t>ї</w:t>
      </w:r>
      <w:r w:rsidR="00096B29">
        <w:rPr>
          <w:rFonts w:ascii="Times New Roman" w:hAnsi="Times New Roman"/>
          <w:bCs/>
          <w:sz w:val="28"/>
          <w:szCs w:val="28"/>
          <w:lang w:val="uk-UA"/>
        </w:rPr>
        <w:t xml:space="preserve"> роботи </w:t>
      </w:r>
      <w:r w:rsidRPr="009302E5">
        <w:rPr>
          <w:rFonts w:ascii="Times New Roman" w:hAnsi="Times New Roman"/>
          <w:bCs/>
          <w:sz w:val="28"/>
          <w:szCs w:val="28"/>
          <w:lang w:val="uk-UA"/>
        </w:rPr>
        <w:t>та визначення показника надійності автономного джерела виконаного за запропонованою схемою.</w:t>
      </w:r>
    </w:p>
    <w:p w:rsidR="00B11FF0" w:rsidRDefault="00B11FF0" w:rsidP="00BE48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11FF0">
        <w:rPr>
          <w:rFonts w:ascii="Times New Roman" w:hAnsi="Times New Roman"/>
          <w:b/>
          <w:bCs/>
          <w:sz w:val="28"/>
          <w:szCs w:val="28"/>
          <w:lang w:val="uk-UA"/>
        </w:rPr>
        <w:t>Методи.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11FF0">
        <w:rPr>
          <w:rFonts w:ascii="Times New Roman" w:hAnsi="Times New Roman"/>
          <w:bCs/>
          <w:sz w:val="28"/>
          <w:szCs w:val="28"/>
          <w:lang w:val="uk-UA"/>
        </w:rPr>
        <w:t>Статистичний аналіз, дослідження параметрів надійності структурних елементів автономного джерела живлення з акумуляторними батареями, інверторами напруги та частотним перетворювачем.</w:t>
      </w:r>
    </w:p>
    <w:p w:rsidR="00B11FF0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A6A">
        <w:rPr>
          <w:rFonts w:ascii="Times New Roman" w:hAnsi="Times New Roman"/>
          <w:sz w:val="28"/>
          <w:szCs w:val="28"/>
          <w:lang w:val="uk-UA"/>
        </w:rPr>
        <w:t>Системи водяного пожежогасіння, як і деякі інші системи протипожежного захисту (системи проти димного захисту)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відзначаються найбільшим енергоспоживанням </w:t>
      </w:r>
      <w:r w:rsidR="00030A6A">
        <w:rPr>
          <w:rFonts w:ascii="Times New Roman" w:hAnsi="Times New Roman"/>
          <w:sz w:val="28"/>
          <w:szCs w:val="28"/>
          <w:lang w:val="uk-UA"/>
        </w:rPr>
        <w:t xml:space="preserve">у зв’язку з використанням  у них </w:t>
      </w:r>
      <w:r w:rsidRPr="00B11FF0">
        <w:rPr>
          <w:rFonts w:ascii="Times New Roman" w:hAnsi="Times New Roman"/>
          <w:sz w:val="28"/>
          <w:szCs w:val="28"/>
          <w:lang w:val="uk-UA"/>
        </w:rPr>
        <w:t>асинхронн</w:t>
      </w:r>
      <w:r w:rsidR="00030A6A">
        <w:rPr>
          <w:rFonts w:ascii="Times New Roman" w:hAnsi="Times New Roman"/>
          <w:sz w:val="28"/>
          <w:szCs w:val="28"/>
          <w:lang w:val="uk-UA"/>
        </w:rPr>
        <w:t>их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0A6A">
        <w:rPr>
          <w:rFonts w:ascii="Times New Roman" w:hAnsi="Times New Roman"/>
          <w:sz w:val="28"/>
          <w:szCs w:val="28"/>
          <w:lang w:val="uk-UA"/>
        </w:rPr>
        <w:t>двигунів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з короткозамкненим ротором (АД) які приводять в дію насоси-підвищувачі тиску води</w:t>
      </w:r>
      <w:r w:rsidR="00030A6A">
        <w:rPr>
          <w:rFonts w:ascii="Times New Roman" w:hAnsi="Times New Roman"/>
          <w:sz w:val="28"/>
          <w:szCs w:val="28"/>
          <w:lang w:val="uk-UA"/>
        </w:rPr>
        <w:t xml:space="preserve">, а у випадку систем проти димного захисту </w:t>
      </w:r>
      <w:r w:rsidRPr="00B11FF0">
        <w:rPr>
          <w:rFonts w:ascii="Times New Roman" w:hAnsi="Times New Roman"/>
          <w:sz w:val="28"/>
          <w:szCs w:val="28"/>
          <w:lang w:val="uk-UA"/>
        </w:rPr>
        <w:t>повітряні насоси.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142E" w:rsidRDefault="00B11FF0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 xml:space="preserve">При використанні </w:t>
      </w:r>
      <w:r w:rsidR="00030A6A">
        <w:rPr>
          <w:rFonts w:ascii="Times New Roman" w:hAnsi="Times New Roman"/>
          <w:sz w:val="28"/>
          <w:szCs w:val="28"/>
          <w:lang w:val="uk-UA"/>
        </w:rPr>
        <w:t xml:space="preserve">традиційної найпоширенішої </w:t>
      </w:r>
      <w:r w:rsidRPr="00B11FF0">
        <w:rPr>
          <w:rFonts w:ascii="Times New Roman" w:hAnsi="Times New Roman"/>
          <w:sz w:val="28"/>
          <w:szCs w:val="28"/>
          <w:lang w:val="uk-UA"/>
        </w:rPr>
        <w:t>релейної схеми керування привідними електродвигунами</w:t>
      </w:r>
      <w:r w:rsidR="0075142E">
        <w:rPr>
          <w:rFonts w:ascii="Times New Roman" w:hAnsi="Times New Roman"/>
          <w:sz w:val="28"/>
          <w:szCs w:val="28"/>
          <w:lang w:val="uk-UA"/>
        </w:rPr>
        <w:t xml:space="preserve"> та перемикання електроживлення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, в </w:t>
      </w:r>
      <w:r w:rsidR="0075142E">
        <w:rPr>
          <w:rFonts w:ascii="Times New Roman" w:hAnsi="Times New Roman"/>
          <w:sz w:val="28"/>
          <w:szCs w:val="28"/>
          <w:lang w:val="uk-UA"/>
        </w:rPr>
        <w:t>електромережі в момент пуску виникають великі пускові струми.</w:t>
      </w:r>
    </w:p>
    <w:p w:rsidR="00B11FF0" w:rsidRDefault="0075142E" w:rsidP="0075142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При використанні запропонованої схеми резервування електроживлення систем водяного пожежогасіння с</w:t>
      </w:r>
      <w:r w:rsidR="00096B29">
        <w:rPr>
          <w:rFonts w:ascii="Times New Roman" w:hAnsi="Times New Roman"/>
          <w:sz w:val="28"/>
          <w:szCs w:val="28"/>
          <w:lang w:val="uk-UA"/>
        </w:rPr>
        <w:t>пособом зменшення пускових струмів і втрат запасу електроенергії</w:t>
      </w:r>
      <w:r w:rsidR="00B11FF0" w:rsidRPr="00B11FF0">
        <w:rPr>
          <w:rFonts w:ascii="Times New Roman" w:hAnsi="Times New Roman"/>
          <w:sz w:val="28"/>
          <w:szCs w:val="28"/>
          <w:lang w:val="uk-UA"/>
        </w:rPr>
        <w:t xml:space="preserve"> може бути включення в схему керування приводними електродвигунами частотних перетворювачів, які використовуючи закон частотного регулювання U/f=const будуть впливати на пусковий режим.</w:t>
      </w:r>
      <w:r w:rsidR="00096B29" w:rsidRPr="00096B2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6B29" w:rsidRPr="0075142E">
        <w:rPr>
          <w:rFonts w:ascii="Times New Roman" w:hAnsi="Times New Roman"/>
          <w:sz w:val="28"/>
          <w:szCs w:val="28"/>
          <w:lang w:val="uk-UA"/>
        </w:rPr>
        <w:t xml:space="preserve">Надійність об’єкта </w:t>
      </w:r>
      <w:r w:rsidR="00096B29" w:rsidRPr="0075142E">
        <w:rPr>
          <w:rFonts w:ascii="Times New Roman" w:hAnsi="Times New Roman"/>
          <w:sz w:val="28"/>
          <w:szCs w:val="28"/>
        </w:rPr>
        <w:t>(систем</w:t>
      </w:r>
      <w:r w:rsidR="00096B29" w:rsidRPr="0075142E">
        <w:rPr>
          <w:rFonts w:ascii="Times New Roman" w:hAnsi="Times New Roman"/>
          <w:sz w:val="28"/>
          <w:szCs w:val="28"/>
          <w:lang w:val="uk-UA"/>
        </w:rPr>
        <w:t>и або елемента</w:t>
      </w:r>
      <w:r w:rsidR="00096B29" w:rsidRPr="00096B29">
        <w:rPr>
          <w:rFonts w:ascii="Times New Roman" w:hAnsi="Times New Roman"/>
          <w:sz w:val="28"/>
          <w:szCs w:val="28"/>
          <w:lang w:val="uk-UA"/>
        </w:rPr>
        <w:t xml:space="preserve"> системи) – це властивість зберігати в часі у встановлених межах значення всіх параметрів, що характеризує його здатність виконувати необхідні функції при заданих режимах та умовах застосування при встановлених правилах технічного обслуговування.</w:t>
      </w:r>
    </w:p>
    <w:p w:rsidR="00096B29" w:rsidRPr="00D15062" w:rsidRDefault="00096B29" w:rsidP="00096B29">
      <w:pPr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=P{T≥t}</m:t>
        </m:r>
      </m:oMath>
      <w:r w:rsidRPr="00D15062">
        <w:rPr>
          <w:i/>
          <w:sz w:val="24"/>
          <w:szCs w:val="24"/>
        </w:rPr>
        <w:t xml:space="preserve">                                                              </w:t>
      </w:r>
      <w:r w:rsidRPr="00A75FEA">
        <w:rPr>
          <w:rFonts w:ascii="Times New Roman" w:hAnsi="Times New Roman"/>
          <w:sz w:val="28"/>
          <w:szCs w:val="28"/>
        </w:rPr>
        <w:t>(1)</w:t>
      </w:r>
    </w:p>
    <w:p w:rsidR="00096B29" w:rsidRPr="00096B29" w:rsidRDefault="00096B29" w:rsidP="00096B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 xml:space="preserve">Ймовірність відмови </w:t>
      </w:r>
      <w:r w:rsidRPr="00096B29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5" o:title=""/>
          </v:shape>
          <o:OLEObject Type="Embed" ProgID="Equation.DSMT4" ShapeID="_x0000_i1025" DrawAspect="Content" ObjectID="_1695198813" r:id="rId6"/>
        </w:objec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- це ймовірність того, що час </w:t>
      </w:r>
      <w:r w:rsidRPr="00096B29">
        <w:rPr>
          <w:rFonts w:ascii="Times New Roman" w:hAnsi="Times New Roman"/>
          <w:i/>
          <w:sz w:val="28"/>
          <w:szCs w:val="28"/>
          <w:lang w:val="uk-UA"/>
        </w:rPr>
        <w:t>Т</w:t>
      </w:r>
      <w:r w:rsidRPr="00096B29">
        <w:rPr>
          <w:rFonts w:ascii="Times New Roman" w:hAnsi="Times New Roman"/>
          <w:sz w:val="28"/>
          <w:szCs w:val="28"/>
          <w:lang w:val="uk-UA"/>
        </w:rPr>
        <w:t xml:space="preserve"> безвідмовної роботи елемента чи системи буде меншим від заданого часу</w:t>
      </w:r>
      <w:r w:rsidRPr="00096B29">
        <w:rPr>
          <w:rFonts w:ascii="Times New Roman" w:hAnsi="Times New Roman"/>
          <w:position w:val="-6"/>
          <w:sz w:val="28"/>
          <w:szCs w:val="28"/>
          <w:lang w:val="uk-UA"/>
        </w:rPr>
        <w:object w:dxaOrig="139" w:dyaOrig="220">
          <v:shape id="_x0000_i1026" type="#_x0000_t75" style="width:9.75pt;height:15pt" o:ole="">
            <v:imagedata r:id="rId7" o:title=""/>
          </v:shape>
          <o:OLEObject Type="Embed" ProgID="Equation.DSMT4" ShapeID="_x0000_i1026" DrawAspect="Content" ObjectID="_1695198814" r:id="rId8"/>
        </w:object>
      </w:r>
    </w:p>
    <w:p w:rsidR="00096B29" w:rsidRPr="00096B29" w:rsidRDefault="00096B29" w:rsidP="00096B29">
      <w:pPr>
        <w:jc w:val="right"/>
        <w:rPr>
          <w:rFonts w:ascii="Cambria Math" w:hAnsi="Cambria Math"/>
          <w:sz w:val="24"/>
          <w:szCs w:val="24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Q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=P{T&lt;t}</m:t>
        </m:r>
      </m:oMath>
      <w:r w:rsidRPr="00A75FEA">
        <w:rPr>
          <w:rFonts w:ascii="Cambria Math" w:hAnsi="Cambria Math"/>
          <w:b/>
          <w:i/>
          <w:sz w:val="28"/>
          <w:szCs w:val="28"/>
          <w:lang w:val="uk-UA"/>
        </w:rPr>
        <w:t xml:space="preserve">                                                            </w:t>
      </w:r>
      <w:r w:rsidRPr="00A75FEA">
        <w:rPr>
          <w:rFonts w:ascii="Cambria Math" w:hAnsi="Cambria Math"/>
          <w:sz w:val="28"/>
          <w:szCs w:val="28"/>
          <w:lang w:val="uk-UA"/>
        </w:rPr>
        <w:t>(</w:t>
      </w:r>
      <w:r w:rsidRPr="00A75F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5FEA">
        <w:rPr>
          <w:rFonts w:ascii="Cambria Math" w:hAnsi="Cambria Math"/>
          <w:sz w:val="28"/>
          <w:szCs w:val="28"/>
          <w:lang w:val="uk-UA"/>
        </w:rPr>
        <w:t>)</w:t>
      </w:r>
    </w:p>
    <w:p w:rsidR="00B11FF0" w:rsidRDefault="00B11FF0" w:rsidP="00B11F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1FF0">
        <w:rPr>
          <w:rFonts w:ascii="Times New Roman" w:hAnsi="Times New Roman"/>
          <w:sz w:val="28"/>
          <w:szCs w:val="28"/>
          <w:lang w:val="uk-UA"/>
        </w:rPr>
        <w:t>Для прикладу розглянемо систему внутрішнього протипожежного водопостачання бази відпочинку розташованої у Сколівському районі Львівської області.</w:t>
      </w:r>
    </w:p>
    <w:p w:rsidR="00B11FF0" w:rsidRDefault="00B11FF0" w:rsidP="00B11F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Структурна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схема </w:t>
      </w:r>
      <w:r>
        <w:rPr>
          <w:rFonts w:ascii="Times New Roman" w:hAnsi="Times New Roman"/>
          <w:sz w:val="28"/>
          <w:szCs w:val="28"/>
          <w:lang w:val="uk-UA"/>
        </w:rPr>
        <w:t xml:space="preserve">автономного </w:t>
      </w:r>
      <w:r w:rsidRPr="00B11FF0">
        <w:rPr>
          <w:rFonts w:ascii="Times New Roman" w:hAnsi="Times New Roman"/>
          <w:sz w:val="28"/>
          <w:szCs w:val="28"/>
          <w:lang w:val="uk-UA"/>
        </w:rPr>
        <w:t>активно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резервуванн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11F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показаний на </w:t>
      </w:r>
      <w:r w:rsidRPr="00B11FF0"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  <w:lang w:val="uk-UA"/>
        </w:rPr>
        <w:t> 1.</w:t>
      </w:r>
    </w:p>
    <w:p w:rsidR="00B11FF0" w:rsidRDefault="00A75FEA" w:rsidP="00B11FF0">
      <w:pPr>
        <w:spacing w:after="0" w:line="360" w:lineRule="auto"/>
        <w:ind w:firstLine="709"/>
        <w:jc w:val="center"/>
        <w:rPr>
          <w:lang w:val="uk-UA"/>
        </w:rPr>
      </w:pPr>
      <w:r>
        <w:object w:dxaOrig="10136" w:dyaOrig="6830">
          <v:shape id="_x0000_i1027" type="#_x0000_t75" style="width:354.75pt;height:237.75pt" o:ole="">
            <v:imagedata r:id="rId9" o:title=""/>
          </v:shape>
          <o:OLEObject Type="Embed" ProgID="Visio.Drawing.11" ShapeID="_x0000_i1027" DrawAspect="Content" ObjectID="_1695198815" r:id="rId10"/>
        </w:object>
      </w:r>
    </w:p>
    <w:p w:rsidR="00930771" w:rsidRDefault="00930771" w:rsidP="00B11F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Рис. 1. Схема автономного резервного джерела</w:t>
      </w:r>
    </w:p>
    <w:p w:rsid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Схема автономного джерела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містить: 1- пристрої комутації; 2 – керований випрямляч; 3 – блок АБ; 4 – блок тиристорів; 5 – система керування; 6,7 – блоки керування; 8,9 -  АІН; 10,11 – трифазні трансформатори; 12 – АД, 14- перетворювач частоти.</w:t>
      </w:r>
    </w:p>
    <w:p w:rsidR="00096B29" w:rsidRPr="00096B29" w:rsidRDefault="00096B29" w:rsidP="00096B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96B29">
        <w:rPr>
          <w:rFonts w:ascii="Times New Roman" w:hAnsi="Times New Roman"/>
          <w:sz w:val="28"/>
          <w:szCs w:val="28"/>
          <w:lang w:val="uk-UA"/>
        </w:rPr>
        <w:t>Логічна схема з</w:t>
      </w:r>
      <w:r w:rsidRPr="00096B29">
        <w:rPr>
          <w:rFonts w:ascii="Times New Roman" w:hAnsi="Times New Roman"/>
          <w:sz w:val="28"/>
          <w:szCs w:val="28"/>
        </w:rPr>
        <w:t>’</w:t>
      </w:r>
      <w:r w:rsidRPr="00096B29">
        <w:rPr>
          <w:rFonts w:ascii="Times New Roman" w:hAnsi="Times New Roman"/>
          <w:sz w:val="28"/>
          <w:szCs w:val="28"/>
          <w:lang w:val="uk-UA"/>
        </w:rPr>
        <w:t>єднань елементів при активному резервуванні має вигляд (рис. 2)</w:t>
      </w:r>
    </w:p>
    <w:p w:rsidR="00096B29" w:rsidRDefault="00096B29" w:rsidP="00930771">
      <w:pPr>
        <w:spacing w:after="0" w:line="360" w:lineRule="auto"/>
        <w:ind w:firstLine="709"/>
        <w:jc w:val="both"/>
        <w:rPr>
          <w:lang w:val="uk-UA"/>
        </w:rPr>
      </w:pPr>
      <w:r>
        <w:object w:dxaOrig="11310" w:dyaOrig="2477">
          <v:shape id="_x0000_i1028" type="#_x0000_t75" style="width:401.25pt;height:87.75pt" o:ole="">
            <v:imagedata r:id="rId11" o:title=""/>
          </v:shape>
          <o:OLEObject Type="Embed" ProgID="Visio.Drawing.11" ShapeID="_x0000_i1028" DrawAspect="Content" ObjectID="_1695198816" r:id="rId12"/>
        </w:object>
      </w:r>
    </w:p>
    <w:p w:rsidR="00096B29" w:rsidRPr="00EF1DC3" w:rsidRDefault="00096B29" w:rsidP="00096B29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096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огічна схема автономного джерела електроживлення</w:t>
      </w:r>
      <w:r w:rsidRPr="00096B29">
        <w:rPr>
          <w:rFonts w:ascii="Times New Roman" w:hAnsi="Times New Roman"/>
          <w:b/>
          <w:sz w:val="28"/>
          <w:szCs w:val="28"/>
        </w:rPr>
        <w:t xml:space="preserve"> з акумуляторними батареями</w:t>
      </w:r>
      <w:r w:rsidRPr="00096B29">
        <w:rPr>
          <w:rFonts w:ascii="Times New Roman" w:hAnsi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096B29" w:rsidRPr="00096B29" w:rsidRDefault="00096B29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Pr="00930771" w:rsidRDefault="00930771" w:rsidP="00930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>Використання додаткових складових в системі керування може вплинути на надійність роботи самої системи протипожежного захисту, що є неприпустимим.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0771">
        <w:rPr>
          <w:rFonts w:ascii="Times New Roman" w:hAnsi="Times New Roman"/>
          <w:sz w:val="28"/>
          <w:szCs w:val="28"/>
          <w:lang w:val="uk-UA"/>
        </w:rPr>
        <w:t xml:space="preserve">З точки зору надійності об’єкти (елементи) </w:t>
      </w:r>
      <w:r w:rsidR="00FC3AD7">
        <w:rPr>
          <w:rFonts w:ascii="Times New Roman" w:hAnsi="Times New Roman"/>
          <w:sz w:val="28"/>
          <w:szCs w:val="28"/>
          <w:lang w:val="uk-UA"/>
        </w:rPr>
        <w:t>систем автоматичного протипожежного захисту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перебувають в логічному послідовному з’єднанні, оскільки відмова будь-якого елемента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в системі, не залежно від його </w:t>
      </w:r>
      <w:r w:rsidR="00FC3AD7">
        <w:rPr>
          <w:rFonts w:ascii="Times New Roman" w:hAnsi="Times New Roman"/>
          <w:sz w:val="28"/>
          <w:szCs w:val="28"/>
          <w:lang w:val="uk-UA"/>
        </w:rPr>
        <w:lastRenderedPageBreak/>
        <w:t xml:space="preserve">розташування у схемі,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призводить до відмови системи загалом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і не виконання системою її основної функції</w:t>
      </w:r>
      <w:r w:rsidRPr="00930771">
        <w:rPr>
          <w:rFonts w:ascii="Times New Roman" w:hAnsi="Times New Roman"/>
          <w:sz w:val="28"/>
          <w:szCs w:val="28"/>
          <w:lang w:val="uk-UA"/>
        </w:rPr>
        <w:t>. Логічна схема з’єднань елементів системи</w:t>
      </w:r>
      <w:r w:rsidR="00FC3AD7">
        <w:rPr>
          <w:rFonts w:ascii="Times New Roman" w:hAnsi="Times New Roman"/>
          <w:sz w:val="28"/>
          <w:szCs w:val="28"/>
          <w:lang w:val="uk-UA"/>
        </w:rPr>
        <w:t xml:space="preserve"> протипожежного захисту (як приклад система внутрішнього протипожежного водопостачання) </w:t>
      </w:r>
      <w:r w:rsidRPr="00930771">
        <w:rPr>
          <w:rFonts w:ascii="Times New Roman" w:hAnsi="Times New Roman"/>
          <w:sz w:val="28"/>
          <w:szCs w:val="28"/>
          <w:lang w:val="uk-UA"/>
        </w:rPr>
        <w:t xml:space="preserve"> наведена на рис.</w:t>
      </w:r>
      <w:r w:rsidR="0012704E">
        <w:rPr>
          <w:rFonts w:ascii="Times New Roman" w:hAnsi="Times New Roman"/>
          <w:sz w:val="28"/>
          <w:szCs w:val="28"/>
          <w:lang w:val="uk-UA"/>
        </w:rPr>
        <w:t>3</w:t>
      </w:r>
      <w:r w:rsidRPr="00930771">
        <w:rPr>
          <w:rFonts w:ascii="Times New Roman" w:hAnsi="Times New Roman"/>
          <w:sz w:val="28"/>
          <w:szCs w:val="28"/>
          <w:lang w:val="uk-UA"/>
        </w:rPr>
        <w:t>.</w:t>
      </w:r>
    </w:p>
    <w:p w:rsidR="00930771" w:rsidRDefault="00930771" w:rsidP="009307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Default="00A65C80" w:rsidP="00930771">
      <w:pPr>
        <w:spacing w:after="0" w:line="360" w:lineRule="auto"/>
        <w:ind w:firstLine="708"/>
        <w:jc w:val="both"/>
        <w:rPr>
          <w:lang w:val="uk-UA"/>
        </w:rPr>
      </w:pPr>
      <w:r>
        <w:object w:dxaOrig="11311" w:dyaOrig="2476">
          <v:shape id="_x0000_i1029" type="#_x0000_t75" style="width:433.5pt;height:93.75pt" o:ole="">
            <v:imagedata r:id="rId13" o:title=""/>
          </v:shape>
          <o:OLEObject Type="Embed" ProgID="Visio.Drawing.11" ShapeID="_x0000_i1029" DrawAspect="Content" ObjectID="_1695198817" r:id="rId14"/>
        </w:objec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Рис. </w:t>
      </w:r>
      <w:r w:rsidR="0012704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. логічна схема автономного джерела електроживлення</w:t>
      </w:r>
      <w:r w:rsidRPr="00930771">
        <w:rPr>
          <w:rFonts w:ascii="Times New Roman" w:hAnsi="Times New Roman" w:cs="Times New Roman"/>
          <w:b/>
          <w:sz w:val="28"/>
          <w:szCs w:val="28"/>
        </w:rPr>
        <w:t xml:space="preserve"> з акумуляторними батареями</w:t>
      </w:r>
      <w:r w:rsidRPr="00930771">
        <w:rPr>
          <w:rFonts w:ascii="Times New Roman" w:hAnsi="Times New Roman" w:cs="Times New Roman"/>
          <w:b/>
          <w:sz w:val="28"/>
          <w:szCs w:val="28"/>
          <w:lang w:val="uk-UA"/>
        </w:rPr>
        <w:t>, інверторами напруги та перетворювачем частоти</w:t>
      </w:r>
    </w:p>
    <w:p w:rsidR="00930771" w:rsidRDefault="00930771" w:rsidP="00930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логічної схеми з’</w:t>
      </w:r>
      <w:r w:rsidRPr="00AD3E9F">
        <w:rPr>
          <w:rFonts w:ascii="Times New Roman" w:hAnsi="Times New Roman"/>
          <w:sz w:val="28"/>
          <w:szCs w:val="28"/>
        </w:rPr>
        <w:t>єднань наведеної на рис.</w:t>
      </w:r>
      <w:r w:rsidR="00A65C80">
        <w:rPr>
          <w:rFonts w:ascii="Times New Roman" w:hAnsi="Times New Roman"/>
          <w:sz w:val="28"/>
          <w:szCs w:val="28"/>
          <w:lang w:val="uk-UA"/>
        </w:rPr>
        <w:t>2</w:t>
      </w:r>
      <w:r w:rsidRPr="00AD3E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обчислюемо значення інтенсивності відмов пропонованого автономного резервного джерела.</w:t>
      </w:r>
    </w:p>
    <w:p w:rsidR="00AD3E9F" w:rsidRPr="00F02D94" w:rsidRDefault="00BB47C1" w:rsidP="00AD3E9F">
      <w:pPr>
        <w:rPr>
          <w:rFonts w:eastAsiaTheme="minorEastAsia"/>
          <w:i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pc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0,07+0,23+0,207+0,2+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2×0,128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2×0,025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+8,3×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==9,106×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год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-1</m:t>
              </m:r>
            </m:sup>
          </m:sSup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D3E9F">
        <w:rPr>
          <w:rFonts w:ascii="Times New Roman" w:hAnsi="Times New Roman"/>
          <w:sz w:val="28"/>
          <w:szCs w:val="28"/>
          <w:lang w:val="uk-UA"/>
        </w:rPr>
        <w:t xml:space="preserve">Підставляючи отримані значення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інтенсивностей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відмов основної та схеми активного  резервування у вирази (</w:t>
      </w:r>
      <w:r w:rsidRPr="00AD3E9F">
        <w:rPr>
          <w:rFonts w:ascii="Times New Roman" w:hAnsi="Times New Roman"/>
          <w:sz w:val="28"/>
          <w:szCs w:val="28"/>
        </w:rPr>
        <w:t>2)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, за умови використання перетворювача частоти типу ACS601  середнім часом напрацювання на відмову 120000 </w:t>
      </w: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>, визначимо залежності зміни ймовірностей безвідмовної роботи для основної та резервованої системи</w:t>
      </w:r>
      <w:r w:rsidRPr="00AD3E9F">
        <w:rPr>
          <w:rFonts w:ascii="Times New Roman" w:hAnsi="Times New Roman"/>
          <w:sz w:val="28"/>
          <w:szCs w:val="28"/>
        </w:rPr>
        <w:t>.</w:t>
      </w:r>
      <w:r w:rsidRPr="00AD3E9F">
        <w:rPr>
          <w:rFonts w:ascii="Times New Roman" w:hAnsi="Times New Roman"/>
          <w:sz w:val="28"/>
          <w:szCs w:val="28"/>
          <w:vertAlign w:val="superscript"/>
          <w:lang w:val="uk-UA"/>
        </w:rPr>
        <w:t>.</w:t>
      </w:r>
      <w:r w:rsidRPr="00AD3E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3E9F" w:rsidRPr="00255B43" w:rsidRDefault="00AD3E9F" w:rsidP="00AD3E9F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P3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-10,753×10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10,753×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-9,106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>×</m:t>
          </m:r>
        </m:oMath>
      </m:oMathPara>
    </w:p>
    <w:p w:rsidR="00AD3E9F" w:rsidRPr="00AD3E9F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×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-666,7×10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0,806×10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t×[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10,753×10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0,07×10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10×10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9,106×10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×t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-1]</m:t>
              </m:r>
            </m:sup>
          </m:sSup>
        </m:oMath>
      </m:oMathPara>
    </w:p>
    <w:p w:rsidR="00AD3E9F" w:rsidRPr="00D15062" w:rsidRDefault="00AD3E9F" w:rsidP="00AD3E9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D3E9F" w:rsidRDefault="00AD3E9F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D3E9F">
        <w:rPr>
          <w:rFonts w:ascii="Times New Roman" w:hAnsi="Times New Roman"/>
          <w:sz w:val="28"/>
          <w:szCs w:val="28"/>
          <w:lang w:val="uk-UA"/>
        </w:rPr>
        <w:t>Виизначаємо</w:t>
      </w:r>
      <w:proofErr w:type="spellEnd"/>
      <w:r w:rsidRPr="00AD3E9F">
        <w:rPr>
          <w:rFonts w:ascii="Times New Roman" w:hAnsi="Times New Roman"/>
          <w:sz w:val="28"/>
          <w:szCs w:val="28"/>
          <w:lang w:val="uk-UA"/>
        </w:rPr>
        <w:t xml:space="preserve"> коефіцієнти збільшення ймовірностей безвідмовної роботи резервованої системи S</w:t>
      </w:r>
      <w:r w:rsidRPr="00AD3E9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32FAE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Pr="00AD3E9F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AD3E9F">
        <w:rPr>
          <w:rFonts w:ascii="Times New Roman" w:hAnsi="Times New Roman"/>
          <w:sz w:val="28"/>
          <w:szCs w:val="28"/>
          <w:lang w:val="uk-UA"/>
        </w:rPr>
        <w:t>з та акумуляторними батареями, інверторами напруги і перетворювачем частоти.</w:t>
      </w:r>
    </w:p>
    <w:p w:rsidR="00A65C80" w:rsidRPr="00A65C80" w:rsidRDefault="00BB47C1" w:rsidP="00732FAE">
      <w:pPr>
        <w:jc w:val="center"/>
        <w:rPr>
          <w:rFonts w:eastAsiaTheme="minorEastAsia"/>
          <w:sz w:val="24"/>
          <w:szCs w:val="24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P1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0,883222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0,628430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=1,405</m:t>
          </m:r>
        </m:oMath>
      </m:oMathPara>
    </w:p>
    <w:p w:rsidR="00A65C80" w:rsidRPr="00A65C80" w:rsidRDefault="00A65C80" w:rsidP="00A65C8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lastRenderedPageBreak/>
        <w:t>Залежності ймовірностей безвідмовної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5C80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00">
          <v:shape id="_x0000_i1030" type="#_x0000_t75" style="width:33pt;height:17.25pt" o:ole="">
            <v:imagedata r:id="rId15" o:title=""/>
          </v:shape>
          <o:OLEObject Type="Embed" ProgID="Equation.DSMT4" ShapeID="_x0000_i1030" DrawAspect="Content" ObjectID="_1695198818" r:id="rId16"/>
        </w:objec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 електроживлення системи  і резервованої системи Р</w:t>
      </w:r>
      <w:r w:rsidRPr="00A65C80">
        <w:rPr>
          <w:rFonts w:ascii="Times New Roman" w:hAnsi="Times New Roman"/>
          <w:sz w:val="28"/>
          <w:szCs w:val="28"/>
        </w:rPr>
        <w:t>3</w:t>
      </w:r>
      <w:r w:rsidRPr="00A65C80">
        <w:rPr>
          <w:rFonts w:ascii="Times New Roman" w:hAnsi="Times New Roman"/>
          <w:sz w:val="28"/>
          <w:szCs w:val="28"/>
          <w:lang w:val="uk-UA"/>
        </w:rPr>
        <w:t>(</w:t>
      </w:r>
      <w:r w:rsidRPr="00A65C80">
        <w:rPr>
          <w:rFonts w:ascii="Times New Roman" w:hAnsi="Times New Roman"/>
          <w:sz w:val="28"/>
          <w:szCs w:val="28"/>
          <w:lang w:val="en-US"/>
        </w:rPr>
        <w:t>t</w:t>
      </w:r>
      <w:r w:rsidRPr="00A65C80">
        <w:rPr>
          <w:rFonts w:ascii="Times New Roman" w:hAnsi="Times New Roman"/>
          <w:sz w:val="28"/>
          <w:szCs w:val="28"/>
          <w:lang w:val="uk-UA"/>
        </w:rPr>
        <w:t>)</w:t>
      </w:r>
      <w:r w:rsidRPr="00A65C80">
        <w:rPr>
          <w:rFonts w:ascii="Times New Roman" w:hAnsi="Times New Roman"/>
          <w:sz w:val="28"/>
          <w:szCs w:val="28"/>
        </w:rPr>
        <w:t xml:space="preserve"> 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наведені на рис. </w:t>
      </w:r>
      <w:r w:rsidR="0012704E">
        <w:rPr>
          <w:rFonts w:ascii="Times New Roman" w:hAnsi="Times New Roman"/>
          <w:sz w:val="28"/>
          <w:szCs w:val="28"/>
          <w:lang w:val="uk-UA"/>
        </w:rPr>
        <w:t>4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65C80" w:rsidRDefault="00A65C80" w:rsidP="00732FAE">
      <w:pPr>
        <w:jc w:val="center"/>
        <w:rPr>
          <w:rFonts w:eastAsiaTheme="minorEastAsia"/>
          <w:sz w:val="24"/>
          <w:szCs w:val="24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01352" cy="3095625"/>
            <wp:effectExtent l="0" t="0" r="0" b="0"/>
            <wp:docPr id="3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496" cy="310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80" w:rsidRDefault="00A65C80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A65C80"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="0012704E">
        <w:rPr>
          <w:rFonts w:ascii="Times New Roman" w:hAnsi="Times New Roman"/>
          <w:sz w:val="28"/>
          <w:szCs w:val="28"/>
          <w:lang w:val="uk-UA"/>
        </w:rPr>
        <w:t>4</w:t>
      </w:r>
      <w:r w:rsidRPr="00A65C80">
        <w:rPr>
          <w:rFonts w:ascii="Times New Roman" w:hAnsi="Times New Roman"/>
          <w:sz w:val="28"/>
          <w:szCs w:val="28"/>
          <w:lang w:val="uk-UA"/>
        </w:rPr>
        <w:t>. Залежність ймовірності безвідмовної роботи систем електроживлення: Р1- основної (Р</w:t>
      </w:r>
      <w:r w:rsidRPr="00A65C80">
        <w:rPr>
          <w:rFonts w:ascii="Times New Roman" w:hAnsi="Times New Roman"/>
          <w:sz w:val="28"/>
          <w:szCs w:val="28"/>
          <w:vertAlign w:val="subscript"/>
          <w:lang w:val="uk-UA"/>
        </w:rPr>
        <w:t>ос</w:t>
      </w:r>
      <w:r w:rsidRPr="00A65C80">
        <w:rPr>
          <w:rFonts w:ascii="Times New Roman" w:hAnsi="Times New Roman"/>
          <w:sz w:val="28"/>
          <w:szCs w:val="28"/>
          <w:lang w:val="uk-UA"/>
        </w:rPr>
        <w:t xml:space="preserve">), Р3- резервованої системи 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 xml:space="preserve">, Р4 - резервованої системи без </w:t>
      </w:r>
      <w:proofErr w:type="spellStart"/>
      <w:r w:rsidRPr="00A65C80">
        <w:rPr>
          <w:rFonts w:ascii="Times New Roman" w:hAnsi="Times New Roman"/>
          <w:sz w:val="28"/>
          <w:szCs w:val="28"/>
          <w:lang w:val="uk-UA"/>
        </w:rPr>
        <w:t>ПЧ</w:t>
      </w:r>
      <w:proofErr w:type="spellEnd"/>
      <w:r w:rsidRPr="00A65C80">
        <w:rPr>
          <w:rFonts w:ascii="Times New Roman" w:hAnsi="Times New Roman"/>
          <w:sz w:val="28"/>
          <w:szCs w:val="28"/>
          <w:lang w:val="uk-UA"/>
        </w:rPr>
        <w:t>, Р5 –з генераторною установкою</w:t>
      </w:r>
    </w:p>
    <w:p w:rsidR="0012704E" w:rsidRDefault="0012704E" w:rsidP="00A65C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2704E" w:rsidRPr="0067318E" w:rsidRDefault="00041819" w:rsidP="000418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визначенні запасу потужності акумуляторних батарей, які використовуються в якості резервного джерела живлення, необхідно враховувати тип АБ (властивості АБ). Врахування властивостей АБ, а саме розряду АБ в залежності від струму споживання можна врахувати використавши </w:t>
      </w:r>
      <w:r w:rsidR="001E7944">
        <w:rPr>
          <w:rFonts w:ascii="Times New Roman" w:hAnsi="Times New Roman"/>
          <w:sz w:val="28"/>
          <w:szCs w:val="28"/>
          <w:lang w:val="uk-UA"/>
        </w:rPr>
        <w:t xml:space="preserve">експоненту </w:t>
      </w:r>
      <w:proofErr w:type="spellStart"/>
      <w:r w:rsidR="001E7944">
        <w:rPr>
          <w:rFonts w:ascii="Times New Roman" w:hAnsi="Times New Roman"/>
          <w:sz w:val="28"/>
          <w:szCs w:val="28"/>
          <w:lang w:val="uk-UA"/>
        </w:rPr>
        <w:t>Пекерта</w:t>
      </w:r>
      <w:proofErr w:type="spellEnd"/>
      <w:r w:rsidR="001E7944">
        <w:rPr>
          <w:rFonts w:ascii="Times New Roman" w:hAnsi="Times New Roman"/>
          <w:sz w:val="28"/>
          <w:szCs w:val="28"/>
          <w:lang w:val="uk-UA"/>
        </w:rPr>
        <w:t xml:space="preserve">, яка є відмінною для кожного типу акумуляторних батарей. Експоненту </w:t>
      </w:r>
      <w:proofErr w:type="spellStart"/>
      <w:r w:rsidR="001E7944">
        <w:rPr>
          <w:rFonts w:ascii="Times New Roman" w:hAnsi="Times New Roman"/>
          <w:sz w:val="28"/>
          <w:szCs w:val="28"/>
          <w:lang w:val="uk-UA"/>
        </w:rPr>
        <w:t>Пекерта</w:t>
      </w:r>
      <w:proofErr w:type="spellEnd"/>
      <w:r w:rsidR="001E794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1E7944" w:rsidRPr="001E7944">
        <w:rPr>
          <w:rFonts w:ascii="Times New Roman" w:hAnsi="Times New Roman"/>
          <w:i/>
          <w:sz w:val="28"/>
          <w:szCs w:val="28"/>
          <w:lang w:val="uk-UA"/>
        </w:rPr>
        <w:t>n</w:t>
      </w:r>
      <w:r w:rsidR="001E7944">
        <w:rPr>
          <w:rFonts w:ascii="Times New Roman" w:hAnsi="Times New Roman"/>
          <w:sz w:val="28"/>
          <w:szCs w:val="28"/>
          <w:lang w:val="uk-UA"/>
        </w:rPr>
        <w:t>) можна визначити експериментально, або використавши значення струмів розряду і часу заявлених виробником акумуляторних батарей.</w:t>
      </w:r>
    </w:p>
    <w:p w:rsidR="001E7944" w:rsidRDefault="001E7944" w:rsidP="0004181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Найбільша експонента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Пекерта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становить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цвинцево-кислотних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АБ, які характеризуються найнижчими електричним показниками. Для критичної оцінки автономного джерела електроенергії оберемо саме свинцево-кислотні АБ та будемо вважати, що при використанні АБ з кращими  електричними характеристиками ефективність використання пропонованої схеми резервування електроживлення для систем водяного пожежогасіння буде вищою.</w:t>
      </w:r>
      <w:r w:rsidR="007A2F30">
        <w:rPr>
          <w:rFonts w:ascii="Times New Roman" w:hAnsi="Times New Roman"/>
          <w:sz w:val="28"/>
          <w:szCs w:val="28"/>
          <w:lang w:val="uk-UA"/>
        </w:rPr>
        <w:t xml:space="preserve"> Тому при використання </w:t>
      </w:r>
      <w:r w:rsidR="007A2F30" w:rsidRPr="007D7D46">
        <w:rPr>
          <w:rFonts w:ascii="Times New Roman" w:hAnsi="Times New Roman"/>
          <w:sz w:val="28"/>
          <w:szCs w:val="28"/>
          <w:lang w:val="uk-UA"/>
        </w:rPr>
        <w:t xml:space="preserve">АБ </w:t>
      </w:r>
      <w:r w:rsidR="007D7D46" w:rsidRPr="007D7D46">
        <w:rPr>
          <w:rFonts w:ascii="Times New Roman" w:hAnsi="Times New Roman"/>
          <w:sz w:val="28"/>
          <w:szCs w:val="28"/>
        </w:rPr>
        <w:t xml:space="preserve">типу </w:t>
      </w:r>
      <w:r w:rsidR="007D7D46" w:rsidRPr="007D7D46">
        <w:rPr>
          <w:rFonts w:ascii="Times New Roman" w:hAnsi="Times New Roman"/>
          <w:sz w:val="28"/>
          <w:szCs w:val="28"/>
          <w:lang w:val="uk-UA"/>
        </w:rPr>
        <w:t>GP 12-1.2</w:t>
      </w:r>
      <w:r w:rsidR="007A2F30" w:rsidRPr="007D7D4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7A2F30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7A2F30" w:rsidRPr="007A2F30">
        <w:rPr>
          <w:rFonts w:ascii="Times New Roman" w:hAnsi="Times New Roman"/>
          <w:sz w:val="28"/>
          <w:szCs w:val="28"/>
          <w:lang w:val="uk-UA"/>
        </w:rPr>
        <w:t xml:space="preserve">заявленому часі розряду </w:t>
      </w:r>
      <w:r w:rsidR="007A2F30" w:rsidRPr="007A2F30">
        <w:rPr>
          <w:rFonts w:ascii="Times New Roman" w:hAnsi="Times New Roman"/>
          <w:sz w:val="28"/>
          <w:szCs w:val="28"/>
          <w:lang w:val="uk-UA"/>
        </w:rPr>
        <w:lastRenderedPageBreak/>
        <w:t>Т1=</w:t>
      </w:r>
      <w:r w:rsidR="007A2F30">
        <w:rPr>
          <w:rFonts w:ascii="Times New Roman" w:hAnsi="Times New Roman"/>
          <w:sz w:val="28"/>
          <w:szCs w:val="28"/>
          <w:lang w:val="uk-UA"/>
        </w:rPr>
        <w:t xml:space="preserve">15хв при Ір=2,27А та Т2=30хв при Ір=1,28А експонента </w:t>
      </w:r>
      <w:proofErr w:type="spellStart"/>
      <w:r w:rsidR="007A2F30">
        <w:rPr>
          <w:rFonts w:ascii="Times New Roman" w:hAnsi="Times New Roman"/>
          <w:sz w:val="28"/>
          <w:szCs w:val="28"/>
          <w:lang w:val="uk-UA"/>
        </w:rPr>
        <w:t>Пекерта</w:t>
      </w:r>
      <w:proofErr w:type="spellEnd"/>
      <w:r w:rsidR="007A2F30">
        <w:rPr>
          <w:rFonts w:ascii="Times New Roman" w:hAnsi="Times New Roman"/>
          <w:sz w:val="28"/>
          <w:szCs w:val="28"/>
          <w:lang w:val="uk-UA"/>
        </w:rPr>
        <w:t xml:space="preserve"> буде становити</w:t>
      </w:r>
    </w:p>
    <w:p w:rsidR="007A2F30" w:rsidRPr="00631F55" w:rsidRDefault="007A2F30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n=log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T1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÷log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I2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=log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0,5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0,25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>÷log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2,27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1,28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=1,21               </m:t>
        </m:r>
      </m:oMath>
      <w:r w:rsidR="00631F55">
        <w:rPr>
          <w:rFonts w:ascii="Times New Roman" w:eastAsiaTheme="minorEastAsia" w:hAnsi="Times New Roman"/>
          <w:sz w:val="28"/>
          <w:szCs w:val="28"/>
          <w:lang w:val="uk-UA"/>
        </w:rPr>
        <w:t>(3)</w:t>
      </w:r>
    </w:p>
    <w:p w:rsidR="008E35D6" w:rsidRDefault="008E35D6" w:rsidP="00041819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Знаючи експоненту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Пекерта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для конкретного типу АБ можна визначити загальну ємність АБ</w:t>
      </w:r>
      <w:r w:rsidR="002200A7" w:rsidRPr="002200A7">
        <w:rPr>
          <w:rFonts w:ascii="Times New Roman" w:eastAsiaTheme="minorEastAsia" w:hAnsi="Times New Roman"/>
          <w:sz w:val="28"/>
          <w:szCs w:val="28"/>
        </w:rPr>
        <w:t xml:space="preserve"> (</w:t>
      </w:r>
      <w:r w:rsidR="002200A7" w:rsidRPr="002200A7">
        <w:rPr>
          <w:rFonts w:ascii="Times New Roman" w:eastAsiaTheme="minorEastAsia" w:hAnsi="Times New Roman"/>
          <w:i/>
          <w:sz w:val="28"/>
          <w:szCs w:val="28"/>
          <w:lang w:val="en-US"/>
        </w:rPr>
        <w:t>Cc</w:t>
      </w:r>
      <w:r w:rsidR="002200A7" w:rsidRPr="002200A7">
        <w:rPr>
          <w:rFonts w:ascii="Times New Roman" w:eastAsiaTheme="minorEastAsia" w:hAnsi="Times New Roman"/>
          <w:sz w:val="28"/>
          <w:szCs w:val="28"/>
        </w:rPr>
        <w:t>)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при прогнозованій потужності (</w:t>
      </w:r>
      <w:proofErr w:type="spellStart"/>
      <w:r w:rsidRPr="002200A7">
        <w:rPr>
          <w:rFonts w:ascii="Times New Roman" w:eastAsiaTheme="minorEastAsia" w:hAnsi="Times New Roman"/>
          <w:i/>
          <w:sz w:val="28"/>
          <w:szCs w:val="28"/>
          <w:lang w:val="uk-UA"/>
        </w:rPr>
        <w:t>Ірс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 – струму розряду) системи водяного пожежогасіння з виразу</w:t>
      </w:r>
    </w:p>
    <w:p w:rsidR="008E35D6" w:rsidRPr="008E35D6" w:rsidRDefault="008E35D6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C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Iрс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n</m:t>
                </m:r>
              </m:sup>
            </m:sSup>
          </m:den>
        </m:f>
      </m:oMath>
      <w:r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631F55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           (4)</w:t>
      </w:r>
    </w:p>
    <w:p w:rsidR="008E35D6" w:rsidRDefault="008E35D6" w:rsidP="008E35D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тоді</w:t>
      </w:r>
    </w:p>
    <w:p w:rsidR="002200A7" w:rsidRPr="00631F55" w:rsidRDefault="00BB47C1" w:rsidP="00631F55">
      <w:pPr>
        <w:spacing w:after="0" w:line="360" w:lineRule="auto"/>
        <w:ind w:firstLine="708"/>
        <w:jc w:val="right"/>
        <w:rPr>
          <w:rFonts w:ascii="Times New Roman" w:eastAsiaTheme="minorEastAsia" w:hAnsi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АБ </m:t>
            </m:r>
          </m:sub>
        </m:sSub>
        <m:r>
          <w:rPr>
            <w:rFonts w:ascii="Cambria Math" w:hAnsi="Cambria Math"/>
            <w:sz w:val="28"/>
            <w:szCs w:val="28"/>
            <w:lang w:val="uk-UA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Iрс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sup>
        </m:sSup>
      </m:oMath>
      <w:r w:rsidR="002200A7" w:rsidRPr="00631F55">
        <w:rPr>
          <w:rFonts w:ascii="Times New Roman" w:eastAsiaTheme="minorEastAsia" w:hAnsi="Times New Roman"/>
          <w:sz w:val="28"/>
          <w:szCs w:val="28"/>
          <w:lang w:val="uk-UA"/>
        </w:rPr>
        <w:t>,</w:t>
      </w:r>
      <w:r w:rsidR="00631F55">
        <w:rPr>
          <w:rFonts w:ascii="Times New Roman" w:eastAsiaTheme="minorEastAsia" w:hAnsi="Times New Roman"/>
          <w:sz w:val="28"/>
          <w:szCs w:val="28"/>
          <w:lang w:val="uk-UA"/>
        </w:rPr>
        <w:t xml:space="preserve">                                         </w:t>
      </w:r>
      <w:r w:rsidR="00631F55" w:rsidRPr="00631F55">
        <w:rPr>
          <w:rFonts w:ascii="Times New Roman" w:eastAsiaTheme="minorEastAsia" w:hAnsi="Times New Roman"/>
          <w:sz w:val="28"/>
          <w:szCs w:val="28"/>
          <w:lang w:val="uk-UA"/>
        </w:rPr>
        <w:t>(5)</w:t>
      </w:r>
    </w:p>
    <w:p w:rsidR="007D7D46" w:rsidRDefault="007D7D46" w:rsidP="007D7D46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 w:rsidRPr="007D7D46">
        <w:rPr>
          <w:rFonts w:ascii="Times New Roman" w:eastAsiaTheme="minorEastAsia" w:hAnsi="Times New Roman"/>
          <w:sz w:val="28"/>
          <w:szCs w:val="28"/>
          <w:lang w:val="uk-UA"/>
        </w:rPr>
        <w:t xml:space="preserve">При </w:t>
      </w:r>
      <w:r>
        <w:rPr>
          <w:rFonts w:ascii="Times New Roman" w:eastAsiaTheme="minorEastAsia" w:hAnsi="Times New Roman"/>
          <w:sz w:val="28"/>
          <w:szCs w:val="28"/>
          <w:lang w:val="uk-UA"/>
        </w:rPr>
        <w:t xml:space="preserve">сумарному струмі розряду, який враховує струми АД, </w:t>
      </w:r>
      <w:proofErr w:type="spellStart"/>
      <w:r>
        <w:rPr>
          <w:rFonts w:ascii="Times New Roman" w:eastAsiaTheme="minorEastAsia" w:hAnsi="Times New Roman"/>
          <w:sz w:val="28"/>
          <w:szCs w:val="28"/>
          <w:lang w:val="uk-UA"/>
        </w:rPr>
        <w:t>ПЧ</w:t>
      </w:r>
      <w:proofErr w:type="spellEnd"/>
      <w:r>
        <w:rPr>
          <w:rFonts w:ascii="Times New Roman" w:eastAsiaTheme="minorEastAsia" w:hAnsi="Times New Roman"/>
          <w:sz w:val="28"/>
          <w:szCs w:val="28"/>
          <w:lang w:val="uk-UA"/>
        </w:rPr>
        <w:t>, АІН та СК і становить 13,47А необхідна ємність акумуляторних батарей буде становити</w:t>
      </w:r>
    </w:p>
    <w:p w:rsidR="007D7D46" w:rsidRPr="007D7D46" w:rsidRDefault="00BB47C1" w:rsidP="007D7D46">
      <w:pPr>
        <w:spacing w:after="0" w:line="36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/>
            </w:rPr>
            <m:t>=50×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2,5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uk-UA"/>
                        </w:rPr>
                        <m:t>13,47с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1,21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uk-UA"/>
            </w:rPr>
            <m:t>=37,7 А∙г</m:t>
          </m:r>
        </m:oMath>
      </m:oMathPara>
    </w:p>
    <w:p w:rsidR="00631F55" w:rsidRDefault="00D66362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6362">
        <w:rPr>
          <w:rFonts w:ascii="Times New Roman" w:hAnsi="Times New Roman"/>
          <w:b/>
          <w:sz w:val="28"/>
          <w:szCs w:val="28"/>
          <w:lang w:val="uk-UA"/>
        </w:rPr>
        <w:t>Висновки.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 xml:space="preserve">Запропонована схема </w:t>
      </w:r>
      <w:r w:rsidR="00631F55">
        <w:rPr>
          <w:rFonts w:ascii="Times New Roman" w:hAnsi="Times New Roman"/>
          <w:sz w:val="28"/>
          <w:szCs w:val="28"/>
          <w:lang w:val="uk-UA"/>
        </w:rPr>
        <w:t>резервування електроживлення</w:t>
      </w:r>
      <w:r w:rsidR="00631F55" w:rsidRPr="00631F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F55">
        <w:rPr>
          <w:rFonts w:ascii="Times New Roman" w:hAnsi="Times New Roman"/>
          <w:sz w:val="28"/>
          <w:szCs w:val="28"/>
          <w:lang w:val="uk-UA"/>
        </w:rPr>
        <w:t>збільшує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 xml:space="preserve"> ймовірність виконання вказаними системами свого призначення</w:t>
      </w:r>
      <w:r w:rsidR="00631F55">
        <w:rPr>
          <w:rFonts w:ascii="Times New Roman" w:hAnsi="Times New Roman"/>
          <w:sz w:val="28"/>
          <w:szCs w:val="28"/>
          <w:lang w:val="uk-UA"/>
        </w:rPr>
        <w:t xml:space="preserve"> про що свідчить коефіцієнт 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>збільшення ймовірностей безвідмовної</w:t>
      </w:r>
      <w:r w:rsidR="00631F55">
        <w:rPr>
          <w:rFonts w:ascii="Times New Roman" w:hAnsi="Times New Roman"/>
          <w:sz w:val="28"/>
          <w:szCs w:val="28"/>
          <w:lang w:val="uk-UA"/>
        </w:rPr>
        <w:t>,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BB0">
        <w:rPr>
          <w:rFonts w:ascii="Times New Roman" w:hAnsi="Times New Roman"/>
          <w:sz w:val="28"/>
          <w:szCs w:val="28"/>
          <w:lang w:val="uk-UA"/>
        </w:rPr>
        <w:t>яки</w:t>
      </w:r>
      <w:r w:rsidR="00631F55">
        <w:rPr>
          <w:rFonts w:ascii="Times New Roman" w:hAnsi="Times New Roman"/>
          <w:sz w:val="28"/>
          <w:szCs w:val="28"/>
          <w:lang w:val="uk-UA"/>
        </w:rPr>
        <w:t>й становить 1,4</w:t>
      </w:r>
      <w:r w:rsidR="00631F55" w:rsidRPr="00732FAE">
        <w:rPr>
          <w:rFonts w:ascii="Times New Roman" w:hAnsi="Times New Roman"/>
          <w:sz w:val="28"/>
          <w:szCs w:val="28"/>
          <w:lang w:val="uk-UA"/>
        </w:rPr>
        <w:t>, а як наслідок забезпечення належного рівня протипожежного захисту людей та майна.</w:t>
      </w:r>
    </w:p>
    <w:p w:rsidR="00631F55" w:rsidRPr="00631F55" w:rsidRDefault="00631F55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2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442E91">
        <w:rPr>
          <w:rFonts w:ascii="Times New Roman" w:hAnsi="Times New Roman"/>
          <w:sz w:val="28"/>
          <w:szCs w:val="28"/>
          <w:lang w:val="uk-UA"/>
        </w:rPr>
        <w:t>резервування електро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живлення системи </w:t>
      </w:r>
      <w:r>
        <w:rPr>
          <w:rFonts w:ascii="Times New Roman" w:hAnsi="Times New Roman"/>
          <w:sz w:val="28"/>
          <w:szCs w:val="28"/>
          <w:lang w:val="uk-UA"/>
        </w:rPr>
        <w:t>водяного пожежогасіння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 необхідно </w:t>
      </w:r>
      <w:r w:rsidRPr="00442E91">
        <w:rPr>
          <w:rFonts w:ascii="Times New Roman" w:hAnsi="Times New Roman"/>
          <w:sz w:val="28"/>
          <w:szCs w:val="28"/>
          <w:lang w:val="uk-UA"/>
        </w:rPr>
        <w:t xml:space="preserve">мати автономне </w:t>
      </w:r>
      <w:r w:rsidRPr="00631F55">
        <w:rPr>
          <w:rFonts w:ascii="Times New Roman" w:hAnsi="Times New Roman"/>
          <w:sz w:val="28"/>
          <w:szCs w:val="28"/>
          <w:lang w:val="uk-UA"/>
        </w:rPr>
        <w:t xml:space="preserve">джерело ємністю </w:t>
      </w:r>
      <w:r w:rsidRPr="00442E91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>Аг.</w:t>
      </w:r>
    </w:p>
    <w:p w:rsidR="00732FAE" w:rsidRPr="00732FAE" w:rsidRDefault="00631F55" w:rsidP="00732FA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Вказані результати 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 xml:space="preserve">свідчить про доцільність  застосування </w:t>
      </w:r>
      <w:r>
        <w:rPr>
          <w:rFonts w:ascii="Times New Roman" w:hAnsi="Times New Roman"/>
          <w:sz w:val="28"/>
          <w:szCs w:val="28"/>
          <w:lang w:val="uk-UA"/>
        </w:rPr>
        <w:t>пропонованої схеми автономного джерела електроенергії для резервування електроживлення автоматичних систем водяного пожежогасіння з використання</w:t>
      </w:r>
      <w:r w:rsidR="00926A3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акумуляторних батарей з автономними інвер</w:t>
      </w:r>
      <w:r w:rsidR="00926A3A">
        <w:rPr>
          <w:rFonts w:ascii="Times New Roman" w:hAnsi="Times New Roman"/>
          <w:sz w:val="28"/>
          <w:szCs w:val="28"/>
          <w:lang w:val="uk-UA"/>
        </w:rPr>
        <w:t>торами</w:t>
      </w:r>
      <w:r>
        <w:rPr>
          <w:rFonts w:ascii="Times New Roman" w:hAnsi="Times New Roman"/>
          <w:sz w:val="28"/>
          <w:szCs w:val="28"/>
          <w:lang w:val="uk-UA"/>
        </w:rPr>
        <w:t xml:space="preserve"> напруги та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 xml:space="preserve"> регульован</w:t>
      </w:r>
      <w:r w:rsidR="00926A3A">
        <w:rPr>
          <w:rFonts w:ascii="Times New Roman" w:hAnsi="Times New Roman"/>
          <w:sz w:val="28"/>
          <w:szCs w:val="28"/>
          <w:lang w:val="uk-UA"/>
        </w:rPr>
        <w:t>им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 xml:space="preserve"> перетворювач</w:t>
      </w:r>
      <w:r w:rsidR="00926A3A">
        <w:rPr>
          <w:rFonts w:ascii="Times New Roman" w:hAnsi="Times New Roman"/>
          <w:sz w:val="28"/>
          <w:szCs w:val="28"/>
          <w:lang w:val="uk-UA"/>
        </w:rPr>
        <w:t>ем</w:t>
      </w:r>
      <w:r w:rsidR="00732FAE" w:rsidRPr="00732FAE">
        <w:rPr>
          <w:rFonts w:ascii="Times New Roman" w:hAnsi="Times New Roman"/>
          <w:sz w:val="28"/>
          <w:szCs w:val="28"/>
          <w:lang w:val="uk-UA"/>
        </w:rPr>
        <w:t xml:space="preserve"> частоти. </w:t>
      </w:r>
    </w:p>
    <w:p w:rsidR="00732FAE" w:rsidRPr="00AD3E9F" w:rsidRDefault="00732FAE" w:rsidP="00AD3E9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771" w:rsidRPr="00AD3E9F" w:rsidRDefault="00930771" w:rsidP="00AD3E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0771" w:rsidRPr="00AD3E9F" w:rsidSect="00BE48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DB4"/>
    <w:rsid w:val="0001633F"/>
    <w:rsid w:val="00027108"/>
    <w:rsid w:val="00030A6A"/>
    <w:rsid w:val="00031E5F"/>
    <w:rsid w:val="00041819"/>
    <w:rsid w:val="00096B29"/>
    <w:rsid w:val="0012704E"/>
    <w:rsid w:val="00166BB0"/>
    <w:rsid w:val="001E7944"/>
    <w:rsid w:val="002165B3"/>
    <w:rsid w:val="002200A7"/>
    <w:rsid w:val="00257993"/>
    <w:rsid w:val="003F3C17"/>
    <w:rsid w:val="00457587"/>
    <w:rsid w:val="0046756F"/>
    <w:rsid w:val="004B17A4"/>
    <w:rsid w:val="00573D28"/>
    <w:rsid w:val="00631F55"/>
    <w:rsid w:val="0067318E"/>
    <w:rsid w:val="00680DB4"/>
    <w:rsid w:val="00732FAE"/>
    <w:rsid w:val="0075142E"/>
    <w:rsid w:val="007A2F30"/>
    <w:rsid w:val="007D7D46"/>
    <w:rsid w:val="008E35D6"/>
    <w:rsid w:val="00926A3A"/>
    <w:rsid w:val="009302E5"/>
    <w:rsid w:val="00930771"/>
    <w:rsid w:val="009B3B89"/>
    <w:rsid w:val="00A23C90"/>
    <w:rsid w:val="00A65C80"/>
    <w:rsid w:val="00A75FEA"/>
    <w:rsid w:val="00AD3E9F"/>
    <w:rsid w:val="00B05840"/>
    <w:rsid w:val="00B11FF0"/>
    <w:rsid w:val="00B54467"/>
    <w:rsid w:val="00B92EC9"/>
    <w:rsid w:val="00BB47C1"/>
    <w:rsid w:val="00BE48D1"/>
    <w:rsid w:val="00C555A6"/>
    <w:rsid w:val="00D66362"/>
    <w:rsid w:val="00D67845"/>
    <w:rsid w:val="00FC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7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A2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hyperlink" Target="mailto:o1972@ukr.net" TargetMode="Externa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Admin</cp:lastModifiedBy>
  <cp:revision>17</cp:revision>
  <dcterms:created xsi:type="dcterms:W3CDTF">2021-05-14T06:53:00Z</dcterms:created>
  <dcterms:modified xsi:type="dcterms:W3CDTF">2021-10-08T07:47:00Z</dcterms:modified>
</cp:coreProperties>
</file>